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480" w:lineRule="exact"/>
        <w:jc w:val="center"/>
        <w:rPr>
          <w:rFonts w:hint="eastAsia" w:ascii="方正小标宋简体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2019</w:t>
      </w:r>
      <w:r>
        <w:rPr>
          <w:rFonts w:hint="eastAsia" w:ascii="方正小标宋简体" w:eastAsia="方正小标宋简体" w:cs="Times New Roman"/>
          <w:sz w:val="32"/>
          <w:szCs w:val="32"/>
        </w:rPr>
        <w:t>年第一批地质灾害防治单位乙丙级资质申请审查结果</w:t>
      </w:r>
    </w:p>
    <w:tbl>
      <w:tblPr>
        <w:tblStyle w:val="2"/>
        <w:tblW w:w="10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089"/>
        <w:gridCol w:w="1362"/>
        <w:gridCol w:w="1155"/>
        <w:gridCol w:w="1155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序号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单位名称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原资质级别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申请类型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审查结果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湖南省有色地质勘查局二一四队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监理丙级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新设（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  <w:t>升级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湖南省煤炭地质勘查院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监理丙级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新设（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  <w:t>升级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</w:rPr>
              <w:t>中国电建集团中南勘测设计研究院有限公司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施工丙级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新设（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  <w:t>升级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408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中国建筑材料工业地质勘查中心湖南总队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设计丙级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新设（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  <w:t>升级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5</w:t>
            </w:r>
          </w:p>
        </w:tc>
        <w:tc>
          <w:tcPr>
            <w:tcW w:w="408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勘查乙级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6</w:t>
            </w:r>
          </w:p>
        </w:tc>
        <w:tc>
          <w:tcPr>
            <w:tcW w:w="408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施工乙级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7</w:t>
            </w:r>
          </w:p>
        </w:tc>
        <w:tc>
          <w:tcPr>
            <w:tcW w:w="408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核工业岳阳建设工程有限公司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评估乙级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8</w:t>
            </w:r>
          </w:p>
        </w:tc>
        <w:tc>
          <w:tcPr>
            <w:tcW w:w="408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勘查乙级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9</w:t>
            </w:r>
          </w:p>
        </w:tc>
        <w:tc>
          <w:tcPr>
            <w:tcW w:w="4089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湖南科创电力工程技术有限公司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勘查乙级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10</w:t>
            </w:r>
          </w:p>
        </w:tc>
        <w:tc>
          <w:tcPr>
            <w:tcW w:w="408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评估乙级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11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长沙矿山研究院有限责任公司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评估丙级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12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湖南省水利水电勘测设计研究总院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评估乙级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13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湖南省煤田地质局第二勘探队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评估乙级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14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湖南省核工业地质调查院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设计乙级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15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湖南省工程勘察院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施工乙级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</w:rPr>
              <w:t>6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湖南第一工业设计研究院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设计乙级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</w:rPr>
              <w:t>7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湖南省资源规划勘测院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勘查乙级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</w:rPr>
              <w:t>8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湖南省地质矿产勘查开发局四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</w:rPr>
              <w:t>八队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监理乙级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19</w:t>
            </w:r>
          </w:p>
        </w:tc>
        <w:tc>
          <w:tcPr>
            <w:tcW w:w="4089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湖南华中矿业有限公司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评估乙级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</w:t>
            </w:r>
          </w:p>
        </w:tc>
        <w:tc>
          <w:tcPr>
            <w:tcW w:w="408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设计乙级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不通过</w:t>
            </w:r>
          </w:p>
        </w:tc>
        <w:tc>
          <w:tcPr>
            <w:tcW w:w="235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符合条件的高级职称技术人员只有4人，不满足</w:t>
            </w:r>
            <w:r>
              <w:rPr>
                <w:rFonts w:hint="eastAsia" w:ascii="Times New Roman" w:hAnsi="Times New Roman" w:eastAsia="仿宋_GB2312" w:cs="Times New Roman"/>
                <w:spacing w:val="-20"/>
              </w:rPr>
              <w:t>设计</w:t>
            </w:r>
            <w:r>
              <w:rPr>
                <w:rFonts w:ascii="Times New Roman" w:hAnsi="Times New Roman" w:eastAsia="仿宋_GB2312" w:cs="Times New Roman"/>
                <w:spacing w:val="-20"/>
              </w:rPr>
              <w:t>和勘查单位乙级资质</w:t>
            </w:r>
            <w:r>
              <w:rPr>
                <w:rFonts w:hint="eastAsia" w:ascii="Times New Roman" w:hAnsi="Times New Roman" w:eastAsia="仿宋_GB2312" w:cs="Times New Roman"/>
                <w:spacing w:val="-20"/>
              </w:rPr>
              <w:t>技术人员</w:t>
            </w:r>
            <w:r>
              <w:rPr>
                <w:rFonts w:ascii="Times New Roman" w:hAnsi="Times New Roman" w:eastAsia="仿宋_GB2312" w:cs="Times New Roman"/>
                <w:spacing w:val="-20"/>
              </w:rPr>
              <w:t>条件。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但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</w:rPr>
              <w:t>符合丙级资质条件，通过丙级资质审查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21</w:t>
            </w:r>
          </w:p>
        </w:tc>
        <w:tc>
          <w:tcPr>
            <w:tcW w:w="4089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勘查乙级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不通过</w:t>
            </w:r>
          </w:p>
        </w:tc>
        <w:tc>
          <w:tcPr>
            <w:tcW w:w="235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exact"/>
          <w:jc w:val="center"/>
        </w:trPr>
        <w:tc>
          <w:tcPr>
            <w:tcW w:w="671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22</w:t>
            </w:r>
          </w:p>
        </w:tc>
        <w:tc>
          <w:tcPr>
            <w:tcW w:w="4089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right="55" w:rightChars="26"/>
              <w:jc w:val="center"/>
              <w:rPr>
                <w:rFonts w:ascii="Times New Roman" w:hAnsi="Times New Roman" w:eastAsia="仿宋_GB2312" w:cs="Times New Roman"/>
                <w:spacing w:val="2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邵阳市矿产地质勘查调查站</w:t>
            </w: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评估丙级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延续</w:t>
            </w:r>
          </w:p>
        </w:tc>
        <w:tc>
          <w:tcPr>
            <w:tcW w:w="115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不通过</w:t>
            </w:r>
          </w:p>
        </w:tc>
        <w:tc>
          <w:tcPr>
            <w:tcW w:w="2350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未按要求提供专业技术人员证明材料、社保证明、社保查询方式，聘用合同不全、安全管理制度未建立、符合条件的技术人员数量不满足条件。</w:t>
            </w:r>
          </w:p>
        </w:tc>
      </w:tr>
    </w:tbl>
    <w:p>
      <w:pPr>
        <w:pStyle w:val="4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C5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2019-06-10T00:48:56Z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