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kern w:val="0"/>
          <w:sz w:val="32"/>
          <w:szCs w:val="32"/>
          <w:lang w:bidi="ar"/>
        </w:rPr>
      </w:pPr>
      <w:r>
        <w:rPr>
          <w:rFonts w:hint="default" w:ascii="Times New Roman" w:hAnsi="Times New Roman" w:eastAsia="黑体" w:cs="Times New Roman"/>
          <w:kern w:val="0"/>
          <w:sz w:val="32"/>
          <w:szCs w:val="32"/>
          <w:lang w:bidi="ar"/>
        </w:rPr>
        <w:t>附件1</w:t>
      </w:r>
    </w:p>
    <w:p>
      <w:pPr>
        <w:widowControl/>
        <w:jc w:val="center"/>
        <w:rPr>
          <w:rFonts w:hint="default" w:ascii="Times New Roman" w:hAnsi="Times New Roman" w:eastAsia="黑体" w:cs="Times New Roman"/>
          <w:kern w:val="0"/>
          <w:sz w:val="44"/>
          <w:szCs w:val="44"/>
          <w:lang w:bidi="ar"/>
        </w:rPr>
      </w:pPr>
      <w:r>
        <w:rPr>
          <w:rFonts w:hint="default" w:ascii="Times New Roman" w:hAnsi="Times New Roman" w:eastAsia="方正小标宋简体" w:cs="Times New Roman"/>
          <w:kern w:val="0"/>
          <w:sz w:val="44"/>
          <w:szCs w:val="44"/>
          <w:lang w:bidi="ar"/>
        </w:rPr>
        <w:t>自然资源资产组合供应实践案例选编</w:t>
      </w:r>
    </w:p>
    <w:tbl>
      <w:tblPr>
        <w:tblStyle w:val="4"/>
        <w:tblW w:w="61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27"/>
        <w:gridCol w:w="1157"/>
        <w:gridCol w:w="2732"/>
        <w:gridCol w:w="1308"/>
        <w:gridCol w:w="2917"/>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216" w:type="pct"/>
            <w:vAlign w:val="center"/>
          </w:tcPr>
          <w:p>
            <w:pPr>
              <w:widowControl/>
              <w:spacing w:line="360" w:lineRule="exact"/>
              <w:jc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序号</w:t>
            </w:r>
          </w:p>
        </w:tc>
        <w:tc>
          <w:tcPr>
            <w:tcW w:w="346" w:type="pct"/>
            <w:vAlign w:val="center"/>
          </w:tcPr>
          <w:p>
            <w:pPr>
              <w:widowControl/>
              <w:spacing w:line="360" w:lineRule="exact"/>
              <w:jc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主要类型</w:t>
            </w:r>
          </w:p>
        </w:tc>
        <w:tc>
          <w:tcPr>
            <w:tcW w:w="550" w:type="pct"/>
            <w:vAlign w:val="center"/>
          </w:tcPr>
          <w:p>
            <w:pPr>
              <w:widowControl/>
              <w:spacing w:line="360" w:lineRule="exact"/>
              <w:jc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主要</w:t>
            </w:r>
          </w:p>
          <w:p>
            <w:pPr>
              <w:widowControl/>
              <w:spacing w:line="360" w:lineRule="exact"/>
              <w:jc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模式</w:t>
            </w:r>
          </w:p>
        </w:tc>
        <w:tc>
          <w:tcPr>
            <w:tcW w:w="1299" w:type="pct"/>
            <w:vAlign w:val="center"/>
          </w:tcPr>
          <w:p>
            <w:pPr>
              <w:widowControl/>
              <w:spacing w:line="360" w:lineRule="exact"/>
              <w:jc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省外先行地区</w:t>
            </w:r>
          </w:p>
          <w:p>
            <w:pPr>
              <w:widowControl/>
              <w:spacing w:line="360" w:lineRule="exact"/>
              <w:jc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实践</w:t>
            </w:r>
          </w:p>
        </w:tc>
        <w:tc>
          <w:tcPr>
            <w:tcW w:w="622" w:type="pct"/>
            <w:vAlign w:val="center"/>
          </w:tcPr>
          <w:p>
            <w:pPr>
              <w:widowControl/>
              <w:spacing w:line="360" w:lineRule="exact"/>
              <w:jc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省外案例原文链接</w:t>
            </w:r>
          </w:p>
        </w:tc>
        <w:tc>
          <w:tcPr>
            <w:tcW w:w="1387" w:type="pct"/>
            <w:vAlign w:val="center"/>
          </w:tcPr>
          <w:p>
            <w:pPr>
              <w:widowControl/>
              <w:spacing w:line="360" w:lineRule="exact"/>
              <w:jc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省内首批项目</w:t>
            </w:r>
          </w:p>
          <w:p>
            <w:pPr>
              <w:widowControl/>
              <w:spacing w:line="360" w:lineRule="exact"/>
              <w:jc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实践</w:t>
            </w:r>
          </w:p>
        </w:tc>
        <w:tc>
          <w:tcPr>
            <w:tcW w:w="577" w:type="pct"/>
            <w:vAlign w:val="center"/>
          </w:tcPr>
          <w:p>
            <w:pPr>
              <w:widowControl/>
              <w:spacing w:line="360" w:lineRule="exact"/>
              <w:jc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省内首批项目视频链接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216" w:type="pct"/>
            <w:vMerge w:val="restart"/>
            <w:vAlign w:val="center"/>
          </w:tcPr>
          <w:p>
            <w:pPr>
              <w:widowControl/>
              <w:spacing w:line="44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w:t>
            </w:r>
          </w:p>
        </w:tc>
        <w:tc>
          <w:tcPr>
            <w:tcW w:w="346" w:type="pct"/>
            <w:vMerge w:val="restart"/>
            <w:vAlign w:val="center"/>
          </w:tcPr>
          <w:p>
            <w:pPr>
              <w:widowControl/>
              <w:spacing w:line="32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跨</w:t>
            </w:r>
          </w:p>
          <w:p>
            <w:pPr>
              <w:widowControl/>
              <w:spacing w:line="32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资</w:t>
            </w:r>
          </w:p>
          <w:p>
            <w:pPr>
              <w:widowControl/>
              <w:spacing w:line="32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源</w:t>
            </w:r>
          </w:p>
        </w:tc>
        <w:tc>
          <w:tcPr>
            <w:tcW w:w="550" w:type="pct"/>
            <w:vMerge w:val="restar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多门类自然资源资产组合供应，</w:t>
            </w:r>
            <w:r>
              <w:rPr>
                <w:rFonts w:hint="default" w:ascii="Times New Roman" w:hAnsi="Times New Roman" w:eastAsia="宋体" w:cs="Times New Roman"/>
                <w:kern w:val="0"/>
                <w:sz w:val="24"/>
                <w:szCs w:val="24"/>
                <w:lang w:bidi="ar"/>
              </w:rPr>
              <w:t>如“土地+水” “国有农用地+建设用地” “土地+森林+矿产”等。</w:t>
            </w:r>
          </w:p>
        </w:tc>
        <w:tc>
          <w:tcPr>
            <w:tcW w:w="1299" w:type="pct"/>
            <w:vMerge w:val="restar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江西九江经开区</w:t>
            </w:r>
            <w:r>
              <w:rPr>
                <w:rFonts w:hint="default" w:ascii="Times New Roman" w:hAnsi="Times New Roman" w:eastAsia="宋体" w:cs="Times New Roman"/>
                <w:kern w:val="0"/>
                <w:sz w:val="24"/>
                <w:szCs w:val="24"/>
                <w:lang w:bidi="ar"/>
              </w:rPr>
              <w:t>打造“土地+水”自然资源资产组合包，涉及一定年限的养殖种植权、休闲旅游开发权、工业旅游线路经营权三项权能。</w:t>
            </w:r>
          </w:p>
        </w:tc>
        <w:tc>
          <w:tcPr>
            <w:tcW w:w="622" w:type="pct"/>
            <w:vMerge w:val="restart"/>
            <w:vAlign w:val="center"/>
          </w:tcPr>
          <w:p>
            <w:pPr>
              <w:widowControl/>
              <w:spacing w:line="320" w:lineRule="exact"/>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rPr>
              <w:drawing>
                <wp:anchor distT="0" distB="0" distL="114300" distR="114300" simplePos="0" relativeHeight="251659264" behindDoc="0" locked="0" layoutInCell="1" allowOverlap="1">
                  <wp:simplePos x="0" y="0"/>
                  <wp:positionH relativeFrom="column">
                    <wp:posOffset>144780</wp:posOffset>
                  </wp:positionH>
                  <wp:positionV relativeFrom="paragraph">
                    <wp:posOffset>1478280</wp:posOffset>
                  </wp:positionV>
                  <wp:extent cx="397510" cy="397510"/>
                  <wp:effectExtent l="0" t="0" r="2540" b="2540"/>
                  <wp:wrapNone/>
                  <wp:docPr id="5" name="图片 5" descr="类型一 跨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类型一 跨资源"/>
                          <pic:cNvPicPr>
                            <a:picLocks noChangeAspect="1"/>
                          </pic:cNvPicPr>
                        </pic:nvPicPr>
                        <pic:blipFill>
                          <a:blip r:embed="rId4"/>
                          <a:stretch>
                            <a:fillRect/>
                          </a:stretch>
                        </pic:blipFill>
                        <pic:spPr>
                          <a:xfrm>
                            <a:off x="0" y="0"/>
                            <a:ext cx="397510" cy="397510"/>
                          </a:xfrm>
                          <a:prstGeom prst="rect">
                            <a:avLst/>
                          </a:prstGeom>
                          <a:noFill/>
                          <a:ln>
                            <a:noFill/>
                          </a:ln>
                        </pic:spPr>
                      </pic:pic>
                    </a:graphicData>
                  </a:graphic>
                </wp:anchor>
              </w:drawing>
            </w:r>
          </w:p>
        </w:tc>
        <w:tc>
          <w:tcPr>
            <w:tcW w:w="1387" w:type="pc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安化雪峰湖项目</w:t>
            </w:r>
            <w:r>
              <w:rPr>
                <w:rFonts w:hint="default" w:ascii="Times New Roman" w:hAnsi="Times New Roman" w:eastAsia="宋体" w:cs="Times New Roman"/>
                <w:kern w:val="0"/>
                <w:sz w:val="24"/>
                <w:szCs w:val="24"/>
                <w:lang w:bidi="ar"/>
              </w:rPr>
              <w:t>资产包涉及“土地+森林+水”等多类自然资源。</w:t>
            </w:r>
          </w:p>
        </w:tc>
        <w:tc>
          <w:tcPr>
            <w:tcW w:w="577" w:type="pct"/>
            <w:vMerge w:val="restart"/>
          </w:tcPr>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安化雪峰湖项目</w:t>
            </w:r>
          </w:p>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rPr>
              <w:drawing>
                <wp:anchor distT="0" distB="0" distL="114300" distR="114300" simplePos="0" relativeHeight="251663360" behindDoc="0" locked="0" layoutInCell="1" allowOverlap="1">
                  <wp:simplePos x="0" y="0"/>
                  <wp:positionH relativeFrom="column">
                    <wp:posOffset>118745</wp:posOffset>
                  </wp:positionH>
                  <wp:positionV relativeFrom="paragraph">
                    <wp:posOffset>67945</wp:posOffset>
                  </wp:positionV>
                  <wp:extent cx="431800" cy="431800"/>
                  <wp:effectExtent l="0" t="0" r="6350" b="6350"/>
                  <wp:wrapNone/>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5"/>
                          <a:stretch>
                            <a:fillRect/>
                          </a:stretch>
                        </pic:blipFill>
                        <pic:spPr>
                          <a:xfrm>
                            <a:off x="0" y="0"/>
                            <a:ext cx="431800" cy="431800"/>
                          </a:xfrm>
                          <a:prstGeom prst="rect">
                            <a:avLst/>
                          </a:prstGeom>
                          <a:noFill/>
                          <a:ln w="9525">
                            <a:noFill/>
                          </a:ln>
                        </pic:spPr>
                      </pic:pic>
                    </a:graphicData>
                  </a:graphic>
                </wp:anchor>
              </w:drawing>
            </w: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沅江南洞庭湖项目</w:t>
            </w:r>
          </w:p>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rPr>
              <w:drawing>
                <wp:anchor distT="0" distB="0" distL="114300" distR="114300" simplePos="0" relativeHeight="251664384" behindDoc="0" locked="0" layoutInCell="1" allowOverlap="1">
                  <wp:simplePos x="0" y="0"/>
                  <wp:positionH relativeFrom="column">
                    <wp:posOffset>100330</wp:posOffset>
                  </wp:positionH>
                  <wp:positionV relativeFrom="paragraph">
                    <wp:posOffset>75565</wp:posOffset>
                  </wp:positionV>
                  <wp:extent cx="431800" cy="431800"/>
                  <wp:effectExtent l="0" t="0" r="6350" b="6350"/>
                  <wp:wrapNone/>
                  <wp:docPr id="10"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descr="IMG_256"/>
                          <pic:cNvPicPr>
                            <a:picLocks noChangeAspect="1"/>
                          </pic:cNvPicPr>
                        </pic:nvPicPr>
                        <pic:blipFill>
                          <a:blip r:embed="rId6"/>
                          <a:stretch>
                            <a:fillRect/>
                          </a:stretch>
                        </pic:blipFill>
                        <pic:spPr>
                          <a:xfrm>
                            <a:off x="0" y="0"/>
                            <a:ext cx="431800" cy="431800"/>
                          </a:xfrm>
                          <a:prstGeom prst="rect">
                            <a:avLst/>
                          </a:prstGeom>
                          <a:noFill/>
                          <a:ln w="9525">
                            <a:noFill/>
                          </a:ln>
                        </pic:spPr>
                      </pic:pic>
                    </a:graphicData>
                  </a:graphic>
                </wp:anchor>
              </w:drawing>
            </w: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桃江“桃花江竹海”项目</w:t>
            </w:r>
          </w:p>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rPr>
              <w:drawing>
                <wp:anchor distT="0" distB="0" distL="114300" distR="114300" simplePos="0" relativeHeight="251665408" behindDoc="0" locked="0" layoutInCell="1" allowOverlap="1">
                  <wp:simplePos x="0" y="0"/>
                  <wp:positionH relativeFrom="column">
                    <wp:posOffset>138430</wp:posOffset>
                  </wp:positionH>
                  <wp:positionV relativeFrom="paragraph">
                    <wp:posOffset>83820</wp:posOffset>
                  </wp:positionV>
                  <wp:extent cx="431800" cy="431800"/>
                  <wp:effectExtent l="0" t="0" r="6350" b="6350"/>
                  <wp:wrapNone/>
                  <wp:docPr id="12"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IMG_256"/>
                          <pic:cNvPicPr>
                            <a:picLocks noChangeAspect="1"/>
                          </pic:cNvPicPr>
                        </pic:nvPicPr>
                        <pic:blipFill>
                          <a:blip r:embed="rId7"/>
                          <a:stretch>
                            <a:fillRect/>
                          </a:stretch>
                        </pic:blipFill>
                        <pic:spPr>
                          <a:xfrm>
                            <a:off x="0" y="0"/>
                            <a:ext cx="431800" cy="431800"/>
                          </a:xfrm>
                          <a:prstGeom prst="rect">
                            <a:avLst/>
                          </a:prstGeom>
                          <a:noFill/>
                          <a:ln w="9525">
                            <a:noFill/>
                          </a:ln>
                        </pic:spPr>
                      </pic:pic>
                    </a:graphicData>
                  </a:graphic>
                </wp:anchor>
              </w:drawing>
            </w: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靖州排牙山项目</w:t>
            </w:r>
          </w:p>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rPr>
              <w:drawing>
                <wp:anchor distT="0" distB="0" distL="114300" distR="114300" simplePos="0" relativeHeight="251666432" behindDoc="0" locked="0" layoutInCell="1" allowOverlap="1">
                  <wp:simplePos x="0" y="0"/>
                  <wp:positionH relativeFrom="column">
                    <wp:posOffset>144145</wp:posOffset>
                  </wp:positionH>
                  <wp:positionV relativeFrom="paragraph">
                    <wp:posOffset>66040</wp:posOffset>
                  </wp:positionV>
                  <wp:extent cx="431800" cy="431800"/>
                  <wp:effectExtent l="0" t="0" r="6350" b="6350"/>
                  <wp:wrapNone/>
                  <wp:docPr id="19"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IMG_256"/>
                          <pic:cNvPicPr>
                            <a:picLocks noChangeAspect="1"/>
                          </pic:cNvPicPr>
                        </pic:nvPicPr>
                        <pic:blipFill>
                          <a:blip r:embed="rId8"/>
                          <a:stretch>
                            <a:fillRect/>
                          </a:stretch>
                        </pic:blipFill>
                        <pic:spPr>
                          <a:xfrm>
                            <a:off x="0" y="0"/>
                            <a:ext cx="431800" cy="431800"/>
                          </a:xfrm>
                          <a:prstGeom prst="rect">
                            <a:avLst/>
                          </a:prstGeom>
                          <a:noFill/>
                          <a:ln w="9525">
                            <a:noFill/>
                          </a:ln>
                        </pic:spPr>
                      </pic:pic>
                    </a:graphicData>
                  </a:graphic>
                </wp:anchor>
              </w:drawing>
            </w: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张家界热水坑项目</w:t>
            </w:r>
          </w:p>
          <w:p>
            <w:pPr>
              <w:widowControl/>
              <w:rPr>
                <w:rFonts w:hint="default" w:ascii="Times New Roman" w:hAnsi="Times New Roman" w:eastAsia="宋体" w:cs="Times New Roman"/>
                <w:b/>
                <w:bCs/>
                <w:kern w:val="0"/>
                <w:sz w:val="24"/>
                <w:szCs w:val="24"/>
                <w:lang w:bidi="ar"/>
              </w:rPr>
            </w:pPr>
            <w:bookmarkStart w:id="0" w:name="_GoBack"/>
            <w:r>
              <w:rPr>
                <w:rFonts w:hint="default" w:ascii="Times New Roman" w:hAnsi="Times New Roman" w:eastAsia="宋体" w:cs="Times New Roman"/>
              </w:rPr>
              <w:drawing>
                <wp:anchor distT="0" distB="0" distL="114300" distR="114300" simplePos="0" relativeHeight="251667456" behindDoc="0" locked="0" layoutInCell="1" allowOverlap="1">
                  <wp:simplePos x="0" y="0"/>
                  <wp:positionH relativeFrom="column">
                    <wp:posOffset>126365</wp:posOffset>
                  </wp:positionH>
                  <wp:positionV relativeFrom="paragraph">
                    <wp:posOffset>57785</wp:posOffset>
                  </wp:positionV>
                  <wp:extent cx="431800" cy="431800"/>
                  <wp:effectExtent l="0" t="0" r="6350" b="6350"/>
                  <wp:wrapNone/>
                  <wp:docPr id="2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56"/>
                          <pic:cNvPicPr>
                            <a:picLocks noChangeAspect="1"/>
                          </pic:cNvPicPr>
                        </pic:nvPicPr>
                        <pic:blipFill>
                          <a:blip r:embed="rId9"/>
                          <a:stretch>
                            <a:fillRect/>
                          </a:stretch>
                        </pic:blipFill>
                        <pic:spPr>
                          <a:xfrm>
                            <a:off x="0" y="0"/>
                            <a:ext cx="431800" cy="431800"/>
                          </a:xfrm>
                          <a:prstGeom prst="rect">
                            <a:avLst/>
                          </a:prstGeom>
                          <a:noFill/>
                          <a:ln w="9525">
                            <a:noFill/>
                          </a:ln>
                        </pic:spPr>
                      </pic:pic>
                    </a:graphicData>
                  </a:graphic>
                </wp:anchor>
              </w:drawing>
            </w:r>
            <w:bookmarkEnd w:id="0"/>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邵阳桃花体育新城项目</w:t>
            </w:r>
          </w:p>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rPr>
              <w:drawing>
                <wp:anchor distT="0" distB="0" distL="114300" distR="114300" simplePos="0" relativeHeight="251668480" behindDoc="0" locked="0" layoutInCell="1" allowOverlap="1">
                  <wp:simplePos x="0" y="0"/>
                  <wp:positionH relativeFrom="column">
                    <wp:posOffset>162560</wp:posOffset>
                  </wp:positionH>
                  <wp:positionV relativeFrom="paragraph">
                    <wp:posOffset>51435</wp:posOffset>
                  </wp:positionV>
                  <wp:extent cx="431800" cy="431800"/>
                  <wp:effectExtent l="0" t="0" r="6350" b="6350"/>
                  <wp:wrapNone/>
                  <wp:docPr id="21"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descr="IMG_256"/>
                          <pic:cNvPicPr>
                            <a:picLocks noChangeAspect="1"/>
                          </pic:cNvPicPr>
                        </pic:nvPicPr>
                        <pic:blipFill>
                          <a:blip r:embed="rId10"/>
                          <a:stretch>
                            <a:fillRect/>
                          </a:stretch>
                        </pic:blipFill>
                        <pic:spPr>
                          <a:xfrm>
                            <a:off x="0" y="0"/>
                            <a:ext cx="431800" cy="431800"/>
                          </a:xfrm>
                          <a:prstGeom prst="rect">
                            <a:avLst/>
                          </a:prstGeom>
                          <a:noFill/>
                          <a:ln w="9525">
                            <a:noFill/>
                          </a:ln>
                        </pic:spPr>
                      </pic:pic>
                    </a:graphicData>
                  </a:graphic>
                </wp:anchor>
              </w:drawing>
            </w: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通道中药谷和地连国有林场项目</w:t>
            </w:r>
          </w:p>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rPr>
              <w:drawing>
                <wp:anchor distT="0" distB="0" distL="114300" distR="114300" simplePos="0" relativeHeight="251669504" behindDoc="0" locked="0" layoutInCell="1" allowOverlap="1">
                  <wp:simplePos x="0" y="0"/>
                  <wp:positionH relativeFrom="column">
                    <wp:posOffset>144780</wp:posOffset>
                  </wp:positionH>
                  <wp:positionV relativeFrom="paragraph">
                    <wp:posOffset>78740</wp:posOffset>
                  </wp:positionV>
                  <wp:extent cx="431800" cy="431800"/>
                  <wp:effectExtent l="0" t="0" r="6350" b="6350"/>
                  <wp:wrapNone/>
                  <wp:docPr id="22"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IMG_256"/>
                          <pic:cNvPicPr>
                            <a:picLocks noChangeAspect="1"/>
                          </pic:cNvPicPr>
                        </pic:nvPicPr>
                        <pic:blipFill>
                          <a:blip r:embed="rId11"/>
                          <a:stretch>
                            <a:fillRect/>
                          </a:stretch>
                        </pic:blipFill>
                        <pic:spPr>
                          <a:xfrm>
                            <a:off x="0" y="0"/>
                            <a:ext cx="431800" cy="431800"/>
                          </a:xfrm>
                          <a:prstGeom prst="rect">
                            <a:avLst/>
                          </a:prstGeom>
                          <a:noFill/>
                          <a:ln w="9525">
                            <a:noFill/>
                          </a:ln>
                        </pic:spPr>
                      </pic:pic>
                    </a:graphicData>
                  </a:graphic>
                </wp:anchor>
              </w:drawing>
            </w: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衡阳东洲岛项目</w:t>
            </w:r>
          </w:p>
          <w:p>
            <w:pPr>
              <w:widowControl/>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rPr>
              <w:drawing>
                <wp:anchor distT="0" distB="0" distL="114300" distR="114300" simplePos="0" relativeHeight="251670528" behindDoc="0" locked="0" layoutInCell="1" allowOverlap="1">
                  <wp:simplePos x="0" y="0"/>
                  <wp:positionH relativeFrom="column">
                    <wp:posOffset>131445</wp:posOffset>
                  </wp:positionH>
                  <wp:positionV relativeFrom="paragraph">
                    <wp:posOffset>60960</wp:posOffset>
                  </wp:positionV>
                  <wp:extent cx="431800" cy="431800"/>
                  <wp:effectExtent l="0" t="0" r="6350" b="6350"/>
                  <wp:wrapNone/>
                  <wp:docPr id="2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IMG_256"/>
                          <pic:cNvPicPr>
                            <a:picLocks noChangeAspect="1"/>
                          </pic:cNvPicPr>
                        </pic:nvPicPr>
                        <pic:blipFill>
                          <a:blip r:embed="rId12"/>
                          <a:stretch>
                            <a:fillRect/>
                          </a:stretch>
                        </pic:blipFill>
                        <pic:spPr>
                          <a:xfrm>
                            <a:off x="0" y="0"/>
                            <a:ext cx="431800" cy="431800"/>
                          </a:xfrm>
                          <a:prstGeom prst="rect">
                            <a:avLst/>
                          </a:prstGeom>
                          <a:noFill/>
                          <a:ln w="9525">
                            <a:noFill/>
                          </a:ln>
                        </pic:spPr>
                      </pic:pic>
                    </a:graphicData>
                  </a:graphic>
                </wp:anchor>
              </w:drawing>
            </w:r>
          </w:p>
          <w:p>
            <w:pPr>
              <w:widowControl/>
              <w:rPr>
                <w:rFonts w:hint="default" w:ascii="Times New Roman" w:hAnsi="Times New Roman" w:eastAsia="宋体" w:cs="Times New Roman"/>
                <w:b/>
                <w:bCs/>
                <w:kern w:val="0"/>
                <w:sz w:val="24"/>
                <w:szCs w:val="24"/>
                <w:lang w:bidi="ar"/>
              </w:rPr>
            </w:pPr>
          </w:p>
          <w:p>
            <w:pPr>
              <w:widowControl/>
              <w:rPr>
                <w:rFonts w:hint="default" w:ascii="Times New Roman" w:hAnsi="Times New Roman" w:eastAsia="宋体" w:cs="Times New Roman"/>
                <w:b/>
                <w:bCs/>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216" w:type="pct"/>
            <w:vMerge w:val="continue"/>
            <w:vAlign w:val="center"/>
          </w:tcPr>
          <w:p>
            <w:pPr>
              <w:widowControl/>
              <w:spacing w:line="440" w:lineRule="exact"/>
              <w:rPr>
                <w:rFonts w:hint="default" w:ascii="Times New Roman" w:hAnsi="Times New Roman" w:eastAsia="宋体" w:cs="Times New Roman"/>
                <w:sz w:val="24"/>
                <w:szCs w:val="24"/>
              </w:rPr>
            </w:pPr>
          </w:p>
        </w:tc>
        <w:tc>
          <w:tcPr>
            <w:tcW w:w="346" w:type="pct"/>
            <w:vMerge w:val="continue"/>
            <w:vAlign w:val="center"/>
          </w:tcPr>
          <w:p>
            <w:pPr>
              <w:widowControl/>
              <w:spacing w:line="320" w:lineRule="exact"/>
              <w:rPr>
                <w:rFonts w:hint="default" w:ascii="Times New Roman" w:hAnsi="Times New Roman" w:eastAsia="宋体" w:cs="Times New Roman"/>
                <w:sz w:val="24"/>
                <w:szCs w:val="24"/>
              </w:rPr>
            </w:pPr>
          </w:p>
        </w:tc>
        <w:tc>
          <w:tcPr>
            <w:tcW w:w="550" w:type="pct"/>
            <w:vMerge w:val="continue"/>
            <w:vAlign w:val="center"/>
          </w:tcPr>
          <w:p>
            <w:pPr>
              <w:widowControl/>
              <w:spacing w:line="320" w:lineRule="exact"/>
              <w:rPr>
                <w:rFonts w:hint="default" w:ascii="Times New Roman" w:hAnsi="Times New Roman" w:eastAsia="宋体" w:cs="Times New Roman"/>
                <w:sz w:val="24"/>
                <w:szCs w:val="24"/>
              </w:rPr>
            </w:pPr>
          </w:p>
        </w:tc>
        <w:tc>
          <w:tcPr>
            <w:tcW w:w="1299"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622"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1387" w:type="pc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沅江南洞庭湖项目</w:t>
            </w:r>
            <w:r>
              <w:rPr>
                <w:rFonts w:hint="default" w:ascii="Times New Roman" w:hAnsi="Times New Roman" w:eastAsia="宋体" w:cs="Times New Roman"/>
                <w:kern w:val="0"/>
                <w:sz w:val="24"/>
                <w:szCs w:val="24"/>
                <w:lang w:bidi="ar"/>
              </w:rPr>
              <w:t>涉及“土地+水”资源。</w:t>
            </w:r>
          </w:p>
        </w:tc>
        <w:tc>
          <w:tcPr>
            <w:tcW w:w="577" w:type="pct"/>
            <w:vMerge w:val="continue"/>
          </w:tcPr>
          <w:p>
            <w:pPr>
              <w:widowControl/>
              <w:spacing w:line="440" w:lineRule="exact"/>
              <w:rPr>
                <w:rFonts w:hint="default" w:ascii="Times New Roman" w:hAnsi="Times New Roman" w:eastAsia="宋体"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vMerge w:val="continue"/>
            <w:vAlign w:val="center"/>
          </w:tcPr>
          <w:p>
            <w:pPr>
              <w:widowControl/>
              <w:spacing w:line="440" w:lineRule="exact"/>
              <w:rPr>
                <w:rFonts w:hint="default" w:ascii="Times New Roman" w:hAnsi="Times New Roman" w:eastAsia="宋体" w:cs="Times New Roman"/>
                <w:kern w:val="0"/>
                <w:sz w:val="24"/>
                <w:szCs w:val="24"/>
                <w:lang w:bidi="ar"/>
              </w:rPr>
            </w:pPr>
          </w:p>
        </w:tc>
        <w:tc>
          <w:tcPr>
            <w:tcW w:w="346"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550"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1299"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622"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1387" w:type="pc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桃江“桃花江竹海”项目</w:t>
            </w:r>
            <w:r>
              <w:rPr>
                <w:rFonts w:hint="default" w:ascii="Times New Roman" w:hAnsi="Times New Roman" w:eastAsia="宋体" w:cs="Times New Roman"/>
                <w:kern w:val="0"/>
                <w:sz w:val="24"/>
                <w:szCs w:val="24"/>
                <w:lang w:bidi="ar"/>
              </w:rPr>
              <w:t>和</w:t>
            </w:r>
            <w:r>
              <w:rPr>
                <w:rFonts w:hint="default" w:ascii="Times New Roman" w:hAnsi="Times New Roman" w:eastAsia="宋体" w:cs="Times New Roman"/>
                <w:b/>
                <w:bCs/>
                <w:kern w:val="0"/>
                <w:sz w:val="24"/>
                <w:szCs w:val="24"/>
                <w:lang w:bidi="ar"/>
              </w:rPr>
              <w:t>靖州排牙山项目</w:t>
            </w:r>
            <w:r>
              <w:rPr>
                <w:rFonts w:hint="default" w:ascii="Times New Roman" w:hAnsi="Times New Roman" w:eastAsia="宋体" w:cs="Times New Roman"/>
                <w:kern w:val="0"/>
                <w:sz w:val="24"/>
                <w:szCs w:val="24"/>
                <w:lang w:bidi="ar"/>
              </w:rPr>
              <w:t>涉及“土地+森林”资源。</w:t>
            </w:r>
          </w:p>
        </w:tc>
        <w:tc>
          <w:tcPr>
            <w:tcW w:w="577" w:type="pct"/>
            <w:vMerge w:val="continue"/>
          </w:tcPr>
          <w:p>
            <w:pPr>
              <w:widowControl/>
              <w:spacing w:line="440" w:lineRule="exact"/>
              <w:rPr>
                <w:rFonts w:hint="default" w:ascii="Times New Roman" w:hAnsi="Times New Roman" w:eastAsia="宋体"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 w:type="pct"/>
            <w:vMerge w:val="continue"/>
            <w:vAlign w:val="center"/>
          </w:tcPr>
          <w:p>
            <w:pPr>
              <w:widowControl/>
              <w:spacing w:line="440" w:lineRule="exact"/>
              <w:rPr>
                <w:rFonts w:hint="default" w:ascii="Times New Roman" w:hAnsi="Times New Roman" w:eastAsia="宋体" w:cs="Times New Roman"/>
                <w:kern w:val="0"/>
                <w:sz w:val="24"/>
                <w:szCs w:val="24"/>
                <w:lang w:bidi="ar"/>
              </w:rPr>
            </w:pPr>
          </w:p>
        </w:tc>
        <w:tc>
          <w:tcPr>
            <w:tcW w:w="346"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550"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1299" w:type="pct"/>
            <w:vMerge w:val="restar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广东湛江</w:t>
            </w:r>
            <w:r>
              <w:rPr>
                <w:rFonts w:hint="default" w:ascii="Times New Roman" w:hAnsi="Times New Roman" w:eastAsia="宋体" w:cs="Times New Roman"/>
                <w:kern w:val="0"/>
                <w:sz w:val="24"/>
                <w:szCs w:val="24"/>
                <w:lang w:bidi="ar"/>
              </w:rPr>
              <w:t>探索国有农用地和建设用地资源资产打包，以授权经营的方式给区级自然资源资产运营公司管理维护。</w:t>
            </w:r>
          </w:p>
        </w:tc>
        <w:tc>
          <w:tcPr>
            <w:tcW w:w="622"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1387" w:type="pc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张家界热水坑项目</w:t>
            </w:r>
            <w:r>
              <w:rPr>
                <w:rFonts w:hint="default" w:ascii="Times New Roman" w:hAnsi="Times New Roman" w:eastAsia="宋体" w:cs="Times New Roman"/>
                <w:kern w:val="0"/>
                <w:sz w:val="24"/>
                <w:szCs w:val="24"/>
                <w:lang w:bidi="ar"/>
              </w:rPr>
              <w:t>涉及“土地+地下热水”资源。</w:t>
            </w:r>
          </w:p>
        </w:tc>
        <w:tc>
          <w:tcPr>
            <w:tcW w:w="577" w:type="pct"/>
            <w:vMerge w:val="continue"/>
          </w:tcPr>
          <w:p>
            <w:pPr>
              <w:widowControl/>
              <w:spacing w:line="440" w:lineRule="exact"/>
              <w:rPr>
                <w:rFonts w:hint="default" w:ascii="Times New Roman" w:hAnsi="Times New Roman" w:eastAsia="宋体"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16" w:type="pct"/>
            <w:vMerge w:val="continue"/>
            <w:vAlign w:val="center"/>
          </w:tcPr>
          <w:p>
            <w:pPr>
              <w:widowControl/>
              <w:spacing w:line="440" w:lineRule="exact"/>
              <w:rPr>
                <w:rFonts w:hint="default" w:ascii="Times New Roman" w:hAnsi="Times New Roman" w:eastAsia="宋体" w:cs="Times New Roman"/>
                <w:kern w:val="0"/>
                <w:sz w:val="24"/>
                <w:szCs w:val="24"/>
                <w:lang w:bidi="ar"/>
              </w:rPr>
            </w:pPr>
          </w:p>
        </w:tc>
        <w:tc>
          <w:tcPr>
            <w:tcW w:w="346"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550"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1299"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622"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1387" w:type="pc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邵阳桃花体育新城项目</w:t>
            </w:r>
            <w:r>
              <w:rPr>
                <w:rFonts w:hint="default" w:ascii="Times New Roman" w:hAnsi="Times New Roman" w:eastAsia="宋体" w:cs="Times New Roman"/>
                <w:kern w:val="0"/>
                <w:sz w:val="24"/>
                <w:szCs w:val="24"/>
                <w:lang w:bidi="ar"/>
              </w:rPr>
              <w:t>涉及“土地+砂石矿产品”资源。</w:t>
            </w:r>
          </w:p>
        </w:tc>
        <w:tc>
          <w:tcPr>
            <w:tcW w:w="577" w:type="pct"/>
            <w:vMerge w:val="continue"/>
          </w:tcPr>
          <w:p>
            <w:pPr>
              <w:widowControl/>
              <w:spacing w:line="440" w:lineRule="exact"/>
              <w:rPr>
                <w:rFonts w:hint="default" w:ascii="Times New Roman" w:hAnsi="Times New Roman" w:eastAsia="宋体"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216" w:type="pct"/>
            <w:vMerge w:val="restart"/>
            <w:vAlign w:val="center"/>
          </w:tcPr>
          <w:p>
            <w:pPr>
              <w:widowControl/>
              <w:spacing w:line="44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w:t>
            </w:r>
          </w:p>
        </w:tc>
        <w:tc>
          <w:tcPr>
            <w:tcW w:w="346" w:type="pct"/>
            <w:vMerge w:val="restart"/>
            <w:vAlign w:val="center"/>
          </w:tcPr>
          <w:p>
            <w:pPr>
              <w:widowControl/>
              <w:spacing w:line="32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跨</w:t>
            </w:r>
          </w:p>
          <w:p>
            <w:pPr>
              <w:widowControl/>
              <w:spacing w:line="32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权</w:t>
            </w:r>
          </w:p>
          <w:p>
            <w:pPr>
              <w:widowControl/>
              <w:spacing w:line="32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属</w:t>
            </w:r>
          </w:p>
        </w:tc>
        <w:tc>
          <w:tcPr>
            <w:tcW w:w="550" w:type="pct"/>
            <w:vMerge w:val="restart"/>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同一资源门类多种权利组合供应，</w:t>
            </w:r>
            <w:r>
              <w:rPr>
                <w:rFonts w:hint="default" w:ascii="Times New Roman" w:hAnsi="Times New Roman" w:eastAsia="宋体" w:cs="Times New Roman"/>
                <w:kern w:val="0"/>
                <w:sz w:val="24"/>
                <w:szCs w:val="24"/>
                <w:lang w:bidi="ar"/>
              </w:rPr>
              <w:t>如“国有+集体”建设用地、水资源不同权利类型组合等。</w:t>
            </w:r>
          </w:p>
        </w:tc>
        <w:tc>
          <w:tcPr>
            <w:tcW w:w="1299" w:type="pct"/>
            <w:vMerge w:val="restar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江苏江阴、江苏常熟、江苏射阳、广东南海</w:t>
            </w:r>
            <w:r>
              <w:rPr>
                <w:rFonts w:hint="default" w:ascii="Times New Roman" w:hAnsi="Times New Roman" w:eastAsia="宋体" w:cs="Times New Roman"/>
                <w:kern w:val="0"/>
                <w:sz w:val="24"/>
                <w:szCs w:val="24"/>
                <w:lang w:bidi="ar"/>
              </w:rPr>
              <w:t>爱车小镇和创客小镇以出让、租赁等方式，将国有和集体经营性建设用地不同所有权主体的土地资源资产，组合供应给同一使用权人。</w:t>
            </w:r>
          </w:p>
        </w:tc>
        <w:tc>
          <w:tcPr>
            <w:tcW w:w="622" w:type="pct"/>
            <w:vMerge w:val="restart"/>
            <w:vAlign w:val="center"/>
          </w:tcPr>
          <w:p>
            <w:pPr>
              <w:widowControl/>
              <w:spacing w:line="320" w:lineRule="exact"/>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rPr>
              <w:drawing>
                <wp:anchor distT="0" distB="0" distL="114300" distR="114300" simplePos="0" relativeHeight="251660288" behindDoc="0" locked="0" layoutInCell="1" allowOverlap="1">
                  <wp:simplePos x="0" y="0"/>
                  <wp:positionH relativeFrom="column">
                    <wp:posOffset>136525</wp:posOffset>
                  </wp:positionH>
                  <wp:positionV relativeFrom="paragraph">
                    <wp:posOffset>2037080</wp:posOffset>
                  </wp:positionV>
                  <wp:extent cx="414655" cy="414655"/>
                  <wp:effectExtent l="0" t="0" r="4445" b="4445"/>
                  <wp:wrapNone/>
                  <wp:docPr id="24" name="图片 24" descr="类型二 跨权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类型二 跨权属"/>
                          <pic:cNvPicPr>
                            <a:picLocks noChangeAspect="1"/>
                          </pic:cNvPicPr>
                        </pic:nvPicPr>
                        <pic:blipFill>
                          <a:blip r:embed="rId13"/>
                          <a:stretch>
                            <a:fillRect/>
                          </a:stretch>
                        </pic:blipFill>
                        <pic:spPr>
                          <a:xfrm>
                            <a:off x="0" y="0"/>
                            <a:ext cx="414655" cy="414655"/>
                          </a:xfrm>
                          <a:prstGeom prst="rect">
                            <a:avLst/>
                          </a:prstGeom>
                          <a:noFill/>
                          <a:ln>
                            <a:noFill/>
                          </a:ln>
                        </pic:spPr>
                      </pic:pic>
                    </a:graphicData>
                  </a:graphic>
                </wp:anchor>
              </w:drawing>
            </w:r>
          </w:p>
        </w:tc>
        <w:tc>
          <w:tcPr>
            <w:tcW w:w="1387" w:type="pc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桃江“桃花江竹海”项目</w:t>
            </w:r>
            <w:r>
              <w:rPr>
                <w:rFonts w:hint="default" w:ascii="Times New Roman" w:hAnsi="Times New Roman" w:eastAsia="宋体" w:cs="Times New Roman"/>
                <w:kern w:val="0"/>
                <w:sz w:val="24"/>
                <w:szCs w:val="24"/>
                <w:lang w:bidi="ar"/>
              </w:rPr>
              <w:t>和</w:t>
            </w:r>
            <w:r>
              <w:rPr>
                <w:rFonts w:hint="default" w:ascii="Times New Roman" w:hAnsi="Times New Roman" w:eastAsia="宋体" w:cs="Times New Roman"/>
                <w:b/>
                <w:bCs/>
                <w:kern w:val="0"/>
                <w:sz w:val="24"/>
                <w:szCs w:val="24"/>
                <w:lang w:bidi="ar"/>
              </w:rPr>
              <w:t>安化雪峰湖项目</w:t>
            </w:r>
            <w:r>
              <w:rPr>
                <w:rFonts w:hint="default" w:ascii="Times New Roman" w:hAnsi="Times New Roman" w:eastAsia="宋体" w:cs="Times New Roman"/>
                <w:kern w:val="0"/>
                <w:sz w:val="24"/>
                <w:szCs w:val="24"/>
                <w:lang w:bidi="ar"/>
              </w:rPr>
              <w:t>涉及“国有+集体”两种权属。</w:t>
            </w:r>
          </w:p>
        </w:tc>
        <w:tc>
          <w:tcPr>
            <w:tcW w:w="577" w:type="pct"/>
            <w:vMerge w:val="continue"/>
          </w:tcPr>
          <w:p>
            <w:pPr>
              <w:widowControl/>
              <w:spacing w:line="440" w:lineRule="exact"/>
              <w:rPr>
                <w:rFonts w:hint="default" w:ascii="Times New Roman" w:hAnsi="Times New Roman" w:eastAsia="宋体" w:cs="Times New Roman"/>
                <w:b/>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216" w:type="pct"/>
            <w:vMerge w:val="continue"/>
            <w:vAlign w:val="center"/>
          </w:tcPr>
          <w:p>
            <w:pPr>
              <w:widowControl/>
              <w:spacing w:line="440" w:lineRule="exact"/>
              <w:rPr>
                <w:rFonts w:hint="default" w:ascii="Times New Roman" w:hAnsi="Times New Roman" w:eastAsia="宋体" w:cs="Times New Roman"/>
                <w:sz w:val="24"/>
                <w:szCs w:val="24"/>
              </w:rPr>
            </w:pPr>
          </w:p>
        </w:tc>
        <w:tc>
          <w:tcPr>
            <w:tcW w:w="346" w:type="pct"/>
            <w:vMerge w:val="continue"/>
            <w:vAlign w:val="center"/>
          </w:tcPr>
          <w:p>
            <w:pPr>
              <w:widowControl/>
              <w:spacing w:line="320" w:lineRule="exact"/>
              <w:rPr>
                <w:rFonts w:hint="default" w:ascii="Times New Roman" w:hAnsi="Times New Roman" w:eastAsia="宋体" w:cs="Times New Roman"/>
                <w:sz w:val="24"/>
                <w:szCs w:val="24"/>
              </w:rPr>
            </w:pPr>
          </w:p>
        </w:tc>
        <w:tc>
          <w:tcPr>
            <w:tcW w:w="550" w:type="pct"/>
            <w:vMerge w:val="continue"/>
            <w:vAlign w:val="center"/>
          </w:tcPr>
          <w:p>
            <w:pPr>
              <w:widowControl/>
              <w:spacing w:line="320" w:lineRule="exact"/>
              <w:rPr>
                <w:rFonts w:hint="default" w:ascii="Times New Roman" w:hAnsi="Times New Roman" w:eastAsia="宋体" w:cs="Times New Roman"/>
                <w:sz w:val="24"/>
                <w:szCs w:val="24"/>
              </w:rPr>
            </w:pPr>
          </w:p>
        </w:tc>
        <w:tc>
          <w:tcPr>
            <w:tcW w:w="1299"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622"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1387" w:type="pc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通道中药谷项目</w:t>
            </w:r>
            <w:r>
              <w:rPr>
                <w:rFonts w:hint="default" w:ascii="Times New Roman" w:hAnsi="Times New Roman" w:eastAsia="宋体" w:cs="Times New Roman"/>
                <w:kern w:val="0"/>
                <w:sz w:val="24"/>
                <w:szCs w:val="24"/>
                <w:lang w:bidi="ar"/>
              </w:rPr>
              <w:t>涉及土地资源的不同权利类型，包含集体建设用地使用权、农用地（集体园地、耕地）经营权、（园地）自然生态系统碳汇权益指标。</w:t>
            </w:r>
          </w:p>
        </w:tc>
        <w:tc>
          <w:tcPr>
            <w:tcW w:w="577" w:type="pct"/>
            <w:vMerge w:val="continue"/>
          </w:tcPr>
          <w:p>
            <w:pPr>
              <w:widowControl/>
              <w:spacing w:line="440" w:lineRule="exact"/>
              <w:rPr>
                <w:rFonts w:hint="default" w:ascii="Times New Roman" w:hAnsi="Times New Roman" w:eastAsia="宋体"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216" w:type="pct"/>
            <w:vMerge w:val="continue"/>
            <w:vAlign w:val="center"/>
          </w:tcPr>
          <w:p>
            <w:pPr>
              <w:widowControl/>
              <w:spacing w:line="440" w:lineRule="exact"/>
              <w:rPr>
                <w:rFonts w:hint="default" w:ascii="Times New Roman" w:hAnsi="Times New Roman" w:eastAsia="宋体" w:cs="Times New Roman"/>
                <w:kern w:val="0"/>
                <w:sz w:val="24"/>
                <w:szCs w:val="24"/>
                <w:lang w:bidi="ar"/>
              </w:rPr>
            </w:pPr>
          </w:p>
        </w:tc>
        <w:tc>
          <w:tcPr>
            <w:tcW w:w="346"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550"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1299" w:type="pc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江西九江</w:t>
            </w:r>
            <w:r>
              <w:rPr>
                <w:rFonts w:hint="default" w:ascii="Times New Roman" w:hAnsi="Times New Roman" w:eastAsia="宋体" w:cs="Times New Roman"/>
                <w:kern w:val="0"/>
                <w:sz w:val="24"/>
                <w:szCs w:val="24"/>
                <w:lang w:bidi="ar"/>
              </w:rPr>
              <w:t>将八里湖等六宗全民所有自然资源资产组合出让，包括养殖（种植）权、水面旅游观光经营权、水面光伏与风能发电经营权、设施农用地优先使用权四项权能。</w:t>
            </w:r>
          </w:p>
        </w:tc>
        <w:tc>
          <w:tcPr>
            <w:tcW w:w="622" w:type="pct"/>
            <w:vMerge w:val="continue"/>
            <w:vAlign w:val="center"/>
          </w:tcPr>
          <w:p>
            <w:pPr>
              <w:widowControl/>
              <w:spacing w:line="320" w:lineRule="exact"/>
              <w:rPr>
                <w:rFonts w:hint="default" w:ascii="Times New Roman" w:hAnsi="Times New Roman" w:eastAsia="宋体" w:cs="Times New Roman"/>
                <w:kern w:val="0"/>
                <w:sz w:val="24"/>
                <w:szCs w:val="24"/>
                <w:lang w:bidi="ar"/>
              </w:rPr>
            </w:pPr>
          </w:p>
        </w:tc>
        <w:tc>
          <w:tcPr>
            <w:tcW w:w="1387" w:type="pc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通道地连林场项目</w:t>
            </w:r>
            <w:r>
              <w:rPr>
                <w:rFonts w:hint="default" w:ascii="Times New Roman" w:hAnsi="Times New Roman" w:eastAsia="宋体" w:cs="Times New Roman"/>
                <w:kern w:val="0"/>
                <w:sz w:val="24"/>
                <w:szCs w:val="24"/>
                <w:lang w:bidi="ar"/>
              </w:rPr>
              <w:t>涉及森林资源的不同权利类型，包含国有林地使用权、林木所有权、林地生态系统碳汇指标。</w:t>
            </w:r>
          </w:p>
        </w:tc>
        <w:tc>
          <w:tcPr>
            <w:tcW w:w="577" w:type="pct"/>
            <w:vMerge w:val="continue"/>
          </w:tcPr>
          <w:p>
            <w:pPr>
              <w:widowControl/>
              <w:spacing w:line="440" w:lineRule="exact"/>
              <w:rPr>
                <w:rFonts w:hint="default" w:ascii="Times New Roman" w:hAnsi="Times New Roman" w:eastAsia="宋体" w:cs="Times New Roman"/>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216" w:type="pct"/>
            <w:vMerge w:val="restart"/>
            <w:vAlign w:val="center"/>
          </w:tcPr>
          <w:p>
            <w:pPr>
              <w:widowControl/>
              <w:spacing w:line="32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w:t>
            </w:r>
          </w:p>
        </w:tc>
        <w:tc>
          <w:tcPr>
            <w:tcW w:w="346" w:type="pct"/>
            <w:vMerge w:val="restart"/>
            <w:vAlign w:val="center"/>
          </w:tcPr>
          <w:p>
            <w:pPr>
              <w:widowControl/>
              <w:spacing w:line="32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跨</w:t>
            </w:r>
          </w:p>
          <w:p>
            <w:pPr>
              <w:widowControl/>
              <w:spacing w:line="32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区</w:t>
            </w:r>
          </w:p>
          <w:p>
            <w:pPr>
              <w:widowControl/>
              <w:spacing w:line="32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域</w:t>
            </w:r>
          </w:p>
        </w:tc>
        <w:tc>
          <w:tcPr>
            <w:tcW w:w="550" w:type="pct"/>
            <w:vMerge w:val="restar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同一资源门类跨区域或地上地下跨空间组合供应，</w:t>
            </w:r>
            <w:r>
              <w:rPr>
                <w:rFonts w:hint="default" w:ascii="Times New Roman" w:hAnsi="Times New Roman" w:eastAsia="宋体" w:cs="Times New Roman"/>
                <w:kern w:val="0"/>
                <w:sz w:val="24"/>
                <w:szCs w:val="24"/>
                <w:lang w:bidi="ar"/>
              </w:rPr>
              <w:t>如“森林生态银行” “矿产+地下空间”等。</w:t>
            </w:r>
          </w:p>
        </w:tc>
        <w:tc>
          <w:tcPr>
            <w:tcW w:w="1299" w:type="pc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福建南平</w:t>
            </w:r>
            <w:r>
              <w:rPr>
                <w:rFonts w:hint="default" w:ascii="Times New Roman" w:hAnsi="Times New Roman" w:eastAsia="宋体" w:cs="Times New Roman"/>
                <w:kern w:val="0"/>
                <w:sz w:val="24"/>
                <w:szCs w:val="24"/>
                <w:lang w:bidi="ar"/>
              </w:rPr>
              <w:t>构建“生态银行”将碎片化的资源进行集中收储和整合优化，转换成连片优质的“资产包”，委托专业且有实力的产业运营商具体管理。</w:t>
            </w:r>
          </w:p>
        </w:tc>
        <w:tc>
          <w:tcPr>
            <w:tcW w:w="622" w:type="pct"/>
            <w:vMerge w:val="restart"/>
            <w:vAlign w:val="center"/>
          </w:tcPr>
          <w:p>
            <w:pPr>
              <w:widowControl/>
              <w:spacing w:line="320" w:lineRule="exact"/>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rPr>
              <w:drawing>
                <wp:anchor distT="0" distB="0" distL="114300" distR="114300" simplePos="0" relativeHeight="251661312" behindDoc="0" locked="0" layoutInCell="1" allowOverlap="1">
                  <wp:simplePos x="0" y="0"/>
                  <wp:positionH relativeFrom="column">
                    <wp:posOffset>179705</wp:posOffset>
                  </wp:positionH>
                  <wp:positionV relativeFrom="paragraph">
                    <wp:posOffset>1479550</wp:posOffset>
                  </wp:positionV>
                  <wp:extent cx="372110" cy="372110"/>
                  <wp:effectExtent l="0" t="0" r="8890" b="8890"/>
                  <wp:wrapNone/>
                  <wp:docPr id="25" name="图片 25" descr="类型三 跨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类型三 跨区域"/>
                          <pic:cNvPicPr>
                            <a:picLocks noChangeAspect="1"/>
                          </pic:cNvPicPr>
                        </pic:nvPicPr>
                        <pic:blipFill>
                          <a:blip r:embed="rId14"/>
                          <a:stretch>
                            <a:fillRect/>
                          </a:stretch>
                        </pic:blipFill>
                        <pic:spPr>
                          <a:xfrm>
                            <a:off x="0" y="0"/>
                            <a:ext cx="372110" cy="372110"/>
                          </a:xfrm>
                          <a:prstGeom prst="rect">
                            <a:avLst/>
                          </a:prstGeom>
                          <a:noFill/>
                          <a:ln>
                            <a:noFill/>
                          </a:ln>
                        </pic:spPr>
                      </pic:pic>
                    </a:graphicData>
                  </a:graphic>
                </wp:anchor>
              </w:drawing>
            </w:r>
          </w:p>
        </w:tc>
        <w:tc>
          <w:tcPr>
            <w:tcW w:w="1387" w:type="pct"/>
            <w:vAlign w:val="center"/>
          </w:tcPr>
          <w:p>
            <w:pPr>
              <w:widowControl/>
              <w:spacing w:line="320" w:lineRule="exact"/>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沅江南洞庭湖项目</w:t>
            </w:r>
            <w:r>
              <w:rPr>
                <w:rFonts w:hint="default" w:ascii="Times New Roman" w:hAnsi="Times New Roman" w:eastAsia="宋体" w:cs="Times New Roman"/>
                <w:kern w:val="0"/>
                <w:sz w:val="24"/>
                <w:szCs w:val="24"/>
                <w:lang w:bidi="ar"/>
              </w:rPr>
              <w:t>和</w:t>
            </w:r>
            <w:r>
              <w:rPr>
                <w:rFonts w:hint="default" w:ascii="Times New Roman" w:hAnsi="Times New Roman" w:eastAsia="宋体" w:cs="Times New Roman"/>
                <w:b/>
                <w:bCs/>
                <w:kern w:val="0"/>
                <w:sz w:val="24"/>
                <w:szCs w:val="24"/>
                <w:lang w:bidi="ar"/>
              </w:rPr>
              <w:t>靖州排牙山项目</w:t>
            </w:r>
            <w:r>
              <w:rPr>
                <w:rFonts w:hint="default" w:ascii="Times New Roman" w:hAnsi="Times New Roman" w:eastAsia="宋体" w:cs="Times New Roman"/>
                <w:kern w:val="0"/>
                <w:sz w:val="24"/>
                <w:szCs w:val="24"/>
                <w:lang w:bidi="ar"/>
              </w:rPr>
              <w:t>，将不同空间范围的原材料生产地和加工区进行组合。</w:t>
            </w:r>
          </w:p>
        </w:tc>
        <w:tc>
          <w:tcPr>
            <w:tcW w:w="577" w:type="pct"/>
            <w:vMerge w:val="continue"/>
          </w:tcPr>
          <w:p>
            <w:pPr>
              <w:widowControl/>
              <w:spacing w:line="440" w:lineRule="exact"/>
              <w:rPr>
                <w:rFonts w:hint="default" w:ascii="Times New Roman" w:hAnsi="Times New Roman" w:eastAsia="宋体" w:cs="Times New Roman"/>
                <w:b/>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216" w:type="pct"/>
            <w:vMerge w:val="continue"/>
            <w:vAlign w:val="center"/>
          </w:tcPr>
          <w:p>
            <w:pPr>
              <w:widowControl/>
              <w:spacing w:line="320" w:lineRule="exact"/>
              <w:rPr>
                <w:rFonts w:hint="default" w:ascii="Times New Roman" w:hAnsi="Times New Roman" w:eastAsia="宋体" w:cs="Times New Roman"/>
                <w:sz w:val="24"/>
                <w:szCs w:val="24"/>
              </w:rPr>
            </w:pPr>
          </w:p>
        </w:tc>
        <w:tc>
          <w:tcPr>
            <w:tcW w:w="346" w:type="pct"/>
            <w:vMerge w:val="continue"/>
            <w:vAlign w:val="center"/>
          </w:tcPr>
          <w:p>
            <w:pPr>
              <w:widowControl/>
              <w:spacing w:line="320" w:lineRule="exact"/>
              <w:rPr>
                <w:rFonts w:hint="default" w:ascii="Times New Roman" w:hAnsi="Times New Roman" w:eastAsia="宋体" w:cs="Times New Roman"/>
                <w:sz w:val="24"/>
                <w:szCs w:val="24"/>
              </w:rPr>
            </w:pPr>
          </w:p>
        </w:tc>
        <w:tc>
          <w:tcPr>
            <w:tcW w:w="550" w:type="pct"/>
            <w:vMerge w:val="continue"/>
            <w:vAlign w:val="center"/>
          </w:tcPr>
          <w:p>
            <w:pPr>
              <w:widowControl/>
              <w:spacing w:line="320" w:lineRule="exact"/>
              <w:rPr>
                <w:rFonts w:hint="default" w:ascii="Times New Roman" w:hAnsi="Times New Roman" w:eastAsia="宋体" w:cs="Times New Roman"/>
                <w:sz w:val="24"/>
                <w:szCs w:val="24"/>
              </w:rPr>
            </w:pPr>
          </w:p>
        </w:tc>
        <w:tc>
          <w:tcPr>
            <w:tcW w:w="1299" w:type="pc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江苏常州</w:t>
            </w:r>
            <w:r>
              <w:rPr>
                <w:rFonts w:hint="default" w:ascii="Times New Roman" w:hAnsi="Times New Roman" w:eastAsia="宋体" w:cs="Times New Roman"/>
                <w:kern w:val="0"/>
                <w:sz w:val="24"/>
                <w:szCs w:val="24"/>
                <w:lang w:bidi="ar"/>
              </w:rPr>
              <w:t>鼓励采矿权人和地下空间使用权人以多种方式合作开展采矿与地下空间建造工作，进行盐矿开采必须同时取得地面及地下建设用地使用权。</w:t>
            </w:r>
          </w:p>
        </w:tc>
        <w:tc>
          <w:tcPr>
            <w:tcW w:w="622" w:type="pct"/>
            <w:vMerge w:val="continue"/>
            <w:vAlign w:val="center"/>
          </w:tcPr>
          <w:p>
            <w:pPr>
              <w:widowControl/>
              <w:spacing w:line="320" w:lineRule="exact"/>
              <w:rPr>
                <w:rFonts w:hint="default" w:ascii="Times New Roman" w:hAnsi="Times New Roman" w:eastAsia="宋体" w:cs="Times New Roman"/>
                <w:b/>
                <w:bCs/>
                <w:kern w:val="0"/>
                <w:sz w:val="24"/>
                <w:szCs w:val="24"/>
                <w:lang w:bidi="ar"/>
              </w:rPr>
            </w:pPr>
          </w:p>
        </w:tc>
        <w:tc>
          <w:tcPr>
            <w:tcW w:w="1387" w:type="pct"/>
            <w:vAlign w:val="center"/>
          </w:tcPr>
          <w:p>
            <w:pPr>
              <w:widowControl/>
              <w:spacing w:line="320" w:lineRule="exact"/>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通道地连国有林场</w:t>
            </w:r>
            <w:r>
              <w:rPr>
                <w:rFonts w:hint="default" w:ascii="Times New Roman" w:hAnsi="Times New Roman" w:eastAsia="宋体" w:cs="Times New Roman"/>
                <w:kern w:val="0"/>
                <w:sz w:val="24"/>
                <w:szCs w:val="24"/>
                <w:lang w:bidi="ar"/>
              </w:rPr>
              <w:t>森林资源包含11个地块，涉及菁芜洲镇菁芜洲村、菁芜洲镇地连林场、菁芜洲镇车控村、菁芜洲镇地连村等区域。</w:t>
            </w:r>
          </w:p>
        </w:tc>
        <w:tc>
          <w:tcPr>
            <w:tcW w:w="577" w:type="pct"/>
            <w:vMerge w:val="continue"/>
          </w:tcPr>
          <w:p>
            <w:pPr>
              <w:widowControl/>
              <w:spacing w:line="440" w:lineRule="exact"/>
              <w:rPr>
                <w:rFonts w:hint="default" w:ascii="Times New Roman" w:hAnsi="Times New Roman" w:eastAsia="宋体" w:cs="Times New Roman"/>
                <w:b/>
                <w:bCs/>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216" w:type="pct"/>
            <w:vAlign w:val="center"/>
          </w:tcPr>
          <w:p>
            <w:pPr>
              <w:widowControl/>
              <w:spacing w:line="32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w:t>
            </w:r>
          </w:p>
        </w:tc>
        <w:tc>
          <w:tcPr>
            <w:tcW w:w="346" w:type="pct"/>
            <w:vAlign w:val="center"/>
          </w:tcPr>
          <w:p>
            <w:pPr>
              <w:widowControl/>
              <w:spacing w:line="32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跨</w:t>
            </w:r>
          </w:p>
          <w:p>
            <w:pPr>
              <w:widowControl/>
              <w:spacing w:line="32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层</w:t>
            </w:r>
          </w:p>
          <w:p>
            <w:pPr>
              <w:widowControl/>
              <w:spacing w:line="320" w:lineRule="exact"/>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级</w:t>
            </w:r>
          </w:p>
        </w:tc>
        <w:tc>
          <w:tcPr>
            <w:tcW w:w="550" w:type="pct"/>
            <w:vAlign w:val="center"/>
          </w:tcPr>
          <w:p>
            <w:pPr>
              <w:widowControl/>
              <w:spacing w:line="320" w:lineRule="exact"/>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涉及矿产、林草湿、水等资源资产跨层级审批。</w:t>
            </w:r>
          </w:p>
        </w:tc>
        <w:tc>
          <w:tcPr>
            <w:tcW w:w="1299" w:type="pct"/>
            <w:vAlign w:val="center"/>
          </w:tcPr>
          <w:p>
            <w:pPr>
              <w:widowControl/>
              <w:spacing w:line="320" w:lineRule="exact"/>
              <w:jc w:val="left"/>
              <w:rPr>
                <w:rFonts w:hint="default" w:ascii="Times New Roman" w:hAnsi="Times New Roman" w:eastAsia="宋体" w:cs="Times New Roman"/>
                <w:kern w:val="0"/>
                <w:sz w:val="24"/>
                <w:szCs w:val="24"/>
                <w:lang w:bidi="ar"/>
              </w:rPr>
            </w:pPr>
            <w:r>
              <w:rPr>
                <w:rFonts w:hint="default" w:ascii="Times New Roman" w:hAnsi="Times New Roman" w:eastAsia="宋体" w:cs="Times New Roman"/>
                <w:b/>
                <w:bCs/>
                <w:kern w:val="0"/>
                <w:sz w:val="24"/>
                <w:szCs w:val="24"/>
                <w:lang w:bidi="ar"/>
              </w:rPr>
              <w:t>江西黎川</w:t>
            </w:r>
            <w:r>
              <w:rPr>
                <w:rFonts w:hint="default" w:ascii="Times New Roman" w:hAnsi="Times New Roman" w:eastAsia="宋体" w:cs="Times New Roman"/>
                <w:kern w:val="0"/>
                <w:sz w:val="24"/>
                <w:szCs w:val="24"/>
                <w:lang w:bidi="ar"/>
              </w:rPr>
              <w:t>探索饮用天然矿泉水采矿权与配套矿泉水生产的国有建设用地使用权组合供应，出让主体涉及省自然资源厅和黎川县自然资源局。</w:t>
            </w:r>
          </w:p>
        </w:tc>
        <w:tc>
          <w:tcPr>
            <w:tcW w:w="622" w:type="pct"/>
            <w:vAlign w:val="center"/>
          </w:tcPr>
          <w:p>
            <w:pPr>
              <w:widowControl/>
              <w:spacing w:line="320" w:lineRule="exact"/>
              <w:jc w:val="left"/>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rPr>
              <w:drawing>
                <wp:anchor distT="0" distB="0" distL="114300" distR="114300" simplePos="0" relativeHeight="251662336" behindDoc="0" locked="0" layoutInCell="1" allowOverlap="1">
                  <wp:simplePos x="0" y="0"/>
                  <wp:positionH relativeFrom="column">
                    <wp:posOffset>165100</wp:posOffset>
                  </wp:positionH>
                  <wp:positionV relativeFrom="paragraph">
                    <wp:posOffset>764540</wp:posOffset>
                  </wp:positionV>
                  <wp:extent cx="397510" cy="397510"/>
                  <wp:effectExtent l="0" t="0" r="2540" b="2540"/>
                  <wp:wrapNone/>
                  <wp:docPr id="26" name="图片 26" descr="类型四 跨层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类型四 跨层级"/>
                          <pic:cNvPicPr>
                            <a:picLocks noChangeAspect="1"/>
                          </pic:cNvPicPr>
                        </pic:nvPicPr>
                        <pic:blipFill>
                          <a:blip r:embed="rId15"/>
                          <a:stretch>
                            <a:fillRect/>
                          </a:stretch>
                        </pic:blipFill>
                        <pic:spPr>
                          <a:xfrm>
                            <a:off x="0" y="0"/>
                            <a:ext cx="397510" cy="397510"/>
                          </a:xfrm>
                          <a:prstGeom prst="rect">
                            <a:avLst/>
                          </a:prstGeom>
                          <a:noFill/>
                          <a:ln>
                            <a:noFill/>
                          </a:ln>
                        </pic:spPr>
                      </pic:pic>
                    </a:graphicData>
                  </a:graphic>
                </wp:anchor>
              </w:drawing>
            </w:r>
          </w:p>
        </w:tc>
        <w:tc>
          <w:tcPr>
            <w:tcW w:w="1387" w:type="pct"/>
            <w:vAlign w:val="center"/>
          </w:tcPr>
          <w:p>
            <w:pPr>
              <w:widowControl/>
              <w:spacing w:line="320" w:lineRule="exact"/>
              <w:jc w:val="left"/>
              <w:rPr>
                <w:rFonts w:hint="default" w:ascii="Times New Roman" w:hAnsi="Times New Roman" w:eastAsia="宋体" w:cs="Times New Roman"/>
                <w:b/>
                <w:bCs/>
                <w:kern w:val="0"/>
                <w:sz w:val="24"/>
                <w:szCs w:val="24"/>
                <w:lang w:bidi="ar"/>
              </w:rPr>
            </w:pPr>
            <w:r>
              <w:rPr>
                <w:rFonts w:hint="default" w:ascii="Times New Roman" w:hAnsi="Times New Roman" w:eastAsia="宋体" w:cs="Times New Roman"/>
                <w:b/>
                <w:bCs/>
                <w:kern w:val="0"/>
                <w:sz w:val="24"/>
                <w:szCs w:val="24"/>
                <w:lang w:bidi="ar"/>
              </w:rPr>
              <w:t>张家界热水坑项目</w:t>
            </w:r>
            <w:r>
              <w:rPr>
                <w:rFonts w:hint="default" w:ascii="Times New Roman" w:hAnsi="Times New Roman" w:eastAsia="宋体" w:cs="Times New Roman"/>
                <w:kern w:val="0"/>
                <w:sz w:val="24"/>
                <w:szCs w:val="24"/>
                <w:lang w:bidi="ar"/>
              </w:rPr>
              <w:t>和</w:t>
            </w:r>
            <w:r>
              <w:rPr>
                <w:rFonts w:hint="default" w:ascii="Times New Roman" w:hAnsi="Times New Roman" w:eastAsia="宋体" w:cs="Times New Roman"/>
                <w:b/>
                <w:bCs/>
                <w:kern w:val="0"/>
                <w:sz w:val="24"/>
                <w:szCs w:val="24"/>
                <w:lang w:bidi="ar"/>
              </w:rPr>
              <w:t>衡阳东洲岛项目</w:t>
            </w:r>
            <w:r>
              <w:rPr>
                <w:rFonts w:hint="default" w:ascii="Times New Roman" w:hAnsi="Times New Roman" w:eastAsia="宋体" w:cs="Times New Roman"/>
                <w:kern w:val="0"/>
                <w:sz w:val="24"/>
                <w:szCs w:val="24"/>
                <w:lang w:bidi="ar"/>
              </w:rPr>
              <w:t>，按有关规定，热水探矿权、旅游经营权和国有建设用地使用权的行权主体分属省市县三级政府。</w:t>
            </w:r>
          </w:p>
        </w:tc>
        <w:tc>
          <w:tcPr>
            <w:tcW w:w="577" w:type="pct"/>
            <w:vMerge w:val="continue"/>
          </w:tcPr>
          <w:p>
            <w:pPr>
              <w:widowControl/>
              <w:spacing w:line="440" w:lineRule="exact"/>
              <w:jc w:val="left"/>
              <w:rPr>
                <w:rFonts w:hint="default" w:ascii="Times New Roman" w:hAnsi="Times New Roman" w:eastAsia="宋体" w:cs="Times New Roman"/>
                <w:b/>
                <w:bCs/>
                <w:kern w:val="0"/>
                <w:sz w:val="28"/>
                <w:szCs w:val="28"/>
                <w:lang w:bidi="ar"/>
              </w:rPr>
            </w:pPr>
          </w:p>
        </w:tc>
      </w:tr>
    </w:tbl>
    <w:p>
      <w:pPr>
        <w:widowControl/>
        <w:spacing w:line="440" w:lineRule="exac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注：以上类型及内容仅供参考，有其他类型的可自行添加。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1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table" w:styleId="4">
    <w:name w:val="Table Grid"/>
    <w:basedOn w:val="3"/>
    <w:qFormat/>
    <w:uiPriority w:val="3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2024-12-30T03:07:26Z</dcterms:created>
  <dc:creator>Administrator</dc:creator>
  <cp:lastModifiedBy>易礼</cp:lastModifiedBy>
  <dcterms:modified xsi:type="dcterms:W3CDTF">2024-12-30T03:07:48Z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13DA36122ABA47BFBE3D14EE6FA0CD30</vt:lpwstr>
  </property>
</Properties>
</file>