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firstLine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</w:p>
    <w:p>
      <w:pPr>
        <w:spacing w:line="400" w:lineRule="exact"/>
        <w:ind w:right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680" w:lineRule="exact"/>
        <w:ind w:right="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湖南省重点生态保护修复治理</w:t>
      </w:r>
    </w:p>
    <w:p>
      <w:pPr>
        <w:spacing w:line="680" w:lineRule="exact"/>
        <w:ind w:right="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资金转移支付项目（邵怀示范工程）</w:t>
      </w:r>
    </w:p>
    <w:p>
      <w:pPr>
        <w:spacing w:line="680" w:lineRule="exact"/>
        <w:ind w:right="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绩效目标自评表（2023年）</w:t>
      </w:r>
    </w:p>
    <w:p>
      <w:pPr>
        <w:spacing w:line="680" w:lineRule="exact"/>
        <w:ind w:right="159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3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76"/>
        <w:gridCol w:w="1070"/>
        <w:gridCol w:w="1195"/>
        <w:gridCol w:w="1132"/>
        <w:gridCol w:w="218"/>
        <w:gridCol w:w="18"/>
        <w:gridCol w:w="1359"/>
        <w:gridCol w:w="203"/>
        <w:gridCol w:w="66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转移支付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（项目）名称</w:t>
            </w:r>
          </w:p>
        </w:tc>
        <w:tc>
          <w:tcPr>
            <w:tcW w:w="4204" w:type="pct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湘桂岩溶地湖南沅江、资江上游历史遗留废弃矿山生态修复示范工程项目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中央主管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部门</w:t>
            </w:r>
          </w:p>
        </w:tc>
        <w:tc>
          <w:tcPr>
            <w:tcW w:w="4204" w:type="pct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自然资源部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地方主管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部门</w:t>
            </w:r>
          </w:p>
        </w:tc>
        <w:tc>
          <w:tcPr>
            <w:tcW w:w="1870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湖南省自然资源厅</w:t>
            </w:r>
          </w:p>
        </w:tc>
        <w:tc>
          <w:tcPr>
            <w:tcW w:w="990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资金使用单位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邵</w:t>
            </w:r>
            <w:r>
              <w:rPr>
                <w:kern w:val="0"/>
                <w:szCs w:val="21"/>
              </w:rPr>
              <w:t>阳</w:t>
            </w:r>
            <w:r>
              <w:rPr>
                <w:rFonts w:hint="eastAsia"/>
                <w:kern w:val="0"/>
                <w:szCs w:val="21"/>
              </w:rPr>
              <w:t>、怀</w:t>
            </w:r>
            <w:r>
              <w:rPr>
                <w:kern w:val="0"/>
                <w:szCs w:val="21"/>
              </w:rPr>
              <w:t>化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市24个县市区人民政府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6" w:type="pct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资金投入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623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全年预算（A）</w:t>
            </w:r>
          </w:p>
        </w:tc>
        <w:tc>
          <w:tcPr>
            <w:tcW w:w="990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全年执行数（B）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执行率(B/A×100）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年度资金总额：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25084.39</w:t>
            </w:r>
          </w:p>
        </w:tc>
        <w:tc>
          <w:tcPr>
            <w:tcW w:w="990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15847.34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其中：中央财政资金</w:t>
            </w:r>
          </w:p>
        </w:tc>
        <w:tc>
          <w:tcPr>
            <w:tcW w:w="623" w:type="pc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  <w:tc>
          <w:tcPr>
            <w:tcW w:w="990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7893.67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地方资金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14284.39</w:t>
            </w:r>
          </w:p>
        </w:tc>
        <w:tc>
          <w:tcPr>
            <w:tcW w:w="990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7503.67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其他资金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800</w:t>
            </w:r>
          </w:p>
        </w:tc>
        <w:tc>
          <w:tcPr>
            <w:tcW w:w="990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450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6" w:type="pct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资金管理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613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情况说明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存在问题及改进措施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分配科学性</w:t>
            </w:r>
          </w:p>
        </w:tc>
        <w:tc>
          <w:tcPr>
            <w:tcW w:w="1613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下达及时性</w:t>
            </w:r>
          </w:p>
        </w:tc>
        <w:tc>
          <w:tcPr>
            <w:tcW w:w="1613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及时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拨付合规性</w:t>
            </w:r>
          </w:p>
        </w:tc>
        <w:tc>
          <w:tcPr>
            <w:tcW w:w="1613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合规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使用规范性</w:t>
            </w:r>
          </w:p>
        </w:tc>
        <w:tc>
          <w:tcPr>
            <w:tcW w:w="1613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执行准确性</w:t>
            </w:r>
          </w:p>
        </w:tc>
        <w:tc>
          <w:tcPr>
            <w:tcW w:w="1613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准确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预算绩效管理情况</w:t>
            </w:r>
          </w:p>
        </w:tc>
        <w:tc>
          <w:tcPr>
            <w:tcW w:w="1613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完成绩效任务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6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支出责任履行情况</w:t>
            </w:r>
          </w:p>
        </w:tc>
        <w:tc>
          <w:tcPr>
            <w:tcW w:w="1613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较好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总体目标完成情况</w:t>
            </w:r>
          </w:p>
        </w:tc>
        <w:tc>
          <w:tcPr>
            <w:tcW w:w="2537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总体目标</w:t>
            </w:r>
          </w:p>
        </w:tc>
        <w:tc>
          <w:tcPr>
            <w:tcW w:w="2204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2537" w:type="pct"/>
            <w:gridSpan w:val="6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完成历史遗留矿山生态修复面积1132公顷，修复历史遗留废弃矿山（矿点）1000个，恢复植被770公顷，盘活利用土地面积1000公顷。</w:t>
            </w:r>
          </w:p>
        </w:tc>
        <w:tc>
          <w:tcPr>
            <w:tcW w:w="2204" w:type="pct"/>
            <w:gridSpan w:val="4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实际完成历史遗留矿山生态修复总面积1365.38公顷，修复矿点1204个，恢复植被面积814.2公顷，盘活利用土地面积1215.2公顷，采坑治理面积9.5公顷，消除地质环境隐患点79个，治理边坡面积37公顷。</w:t>
            </w:r>
          </w:p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Style w:val="5"/>
                <w:rFonts w:ascii="Times New Roman" w:hAnsi="Times New Roman" w:eastAsia="宋体" w:cs="Times New Roman"/>
              </w:rPr>
              <w:t>自评得分：100分。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绩效指标</w:t>
            </w:r>
          </w:p>
        </w:tc>
        <w:tc>
          <w:tcPr>
            <w:tcW w:w="537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三级指标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全年实际完成值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未完成原因及改进措施，自评得分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产出指标（60分）</w:t>
            </w:r>
          </w:p>
        </w:tc>
        <w:tc>
          <w:tcPr>
            <w:tcW w:w="589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矿山生态修复面积（公顷）</w:t>
            </w:r>
          </w:p>
        </w:tc>
        <w:tc>
          <w:tcPr>
            <w:tcW w:w="758" w:type="pct"/>
            <w:gridSpan w:val="2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≥1132（10分）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1365.38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修复废弃矿山（矿点）数量（个）</w:t>
            </w:r>
          </w:p>
        </w:tc>
        <w:tc>
          <w:tcPr>
            <w:tcW w:w="758" w:type="pct"/>
            <w:gridSpan w:val="2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≥1000（5分）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1204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地质环境隐患点消除数量（个）</w:t>
            </w:r>
          </w:p>
        </w:tc>
        <w:tc>
          <w:tcPr>
            <w:tcW w:w="758" w:type="pct"/>
            <w:gridSpan w:val="2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≥60（5分）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边坡治理面积（公顷）</w:t>
            </w:r>
          </w:p>
        </w:tc>
        <w:tc>
          <w:tcPr>
            <w:tcW w:w="758" w:type="pct"/>
            <w:gridSpan w:val="2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≥28（5分）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401" w:type="pct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植被恢复面积（公顷）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≥770（5分）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814.2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401" w:type="pct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采坑治理面积（公顷）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≥6（5分）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9.5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401" w:type="pct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盘活利用土地面积（公顷）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≥1000（5分）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1215.2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工程质量合格率（%）</w:t>
            </w:r>
          </w:p>
        </w:tc>
        <w:tc>
          <w:tcPr>
            <w:tcW w:w="758" w:type="pct"/>
            <w:gridSpan w:val="2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植被成活率（%）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≥75（5分）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项目按时开工率（%）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单位成本控制数</w:t>
            </w:r>
          </w:p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（万元/公顷）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29.7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效益指标（30分）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植被覆盖度增加值（%）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≥50（10分）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50.3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本项自评10分。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人居环境改善（万人）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≥9（5分）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11.8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土地复垦利用率（%）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≥88（10分）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本项自评10分。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后期管护持续时间（年）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≥3（5分）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满意度指标（10分）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服务对象满意度指标</w:t>
            </w:r>
          </w:p>
        </w:tc>
        <w:tc>
          <w:tcPr>
            <w:tcW w:w="1401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项目实施区域群众满意度（%）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≥90（10分）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本项自评10分。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9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说明</w:t>
            </w:r>
          </w:p>
        </w:tc>
        <w:tc>
          <w:tcPr>
            <w:tcW w:w="4741" w:type="pct"/>
            <w:gridSpan w:val="1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暂无巡视、审计和财会监督等反馈的问题。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widowControl/>
              <w:spacing w:line="240" w:lineRule="atLeast"/>
              <w:ind w:left="420" w:hanging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注：1.资金使用单位按项目绩效目标填报，主管部门汇总时按区域绩效目标填报。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2.其他资金包括与中央财政资金、地方财政资金共同投入到同一项目中的自有资金、社会资金，以及以前年度的结转结余资金等。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3.全年执行数是指按照国库集中支付制度要求所形成的实际支出。</w:t>
            </w:r>
          </w:p>
        </w:tc>
      </w:tr>
    </w:tbl>
    <w:p>
      <w:pPr>
        <w:spacing w:line="600" w:lineRule="exact"/>
      </w:pPr>
      <w:r>
        <w:rPr>
          <w:rFonts w:eastAsia="黑体"/>
          <w:sz w:val="32"/>
          <w:szCs w:val="32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7CCD7355"/>
    <w:rsid w:val="7CC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uiPriority w:val="0"/>
    <w:pPr>
      <w:spacing w:line="400" w:lineRule="exact"/>
      <w:ind w:firstLine="567"/>
    </w:pPr>
    <w:rPr>
      <w:rFonts w:ascii="Calibri" w:hAnsi="Calibri"/>
      <w:szCs w:val="21"/>
    </w:rPr>
  </w:style>
  <w:style w:type="character" w:customStyle="1" w:styleId="5">
    <w:name w:val="17"/>
    <w:qFormat/>
    <w:uiPriority w:val="0"/>
    <w:rPr>
      <w:rFonts w:ascii="仿宋" w:hAnsi="仿宋" w:eastAsia="仿宋" w:cs="仿宋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2024-04-10T07:10:00Z</dcterms:created>
  <dc:creator>元宝</dc:creator>
  <cp:lastModifiedBy>元宝</cp:lastModifiedBy>
  <dcterms:modified xsi:type="dcterms:W3CDTF">2024-04-10T07:11:18Z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B97C12B2106C4ACC8FAA1C0FC05927BD_11</vt:lpwstr>
  </property>
</Properties>
</file>