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right" w:leader="dot" w:pos="8306"/>
        </w:tabs>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p>
    <w:p>
      <w:pPr>
        <w:pStyle w:val="4"/>
        <w:tabs>
          <w:tab w:val="right" w:leader="dot" w:pos="8306"/>
        </w:tabs>
        <w:rPr>
          <w:rFonts w:ascii="Times New Roman" w:hAnsi="Times New Roman" w:eastAsia="黑体" w:cs="Times New Roman"/>
          <w:spacing w:val="-3"/>
          <w:sz w:val="32"/>
          <w:szCs w:val="32"/>
          <w:lang w:val="zh-CN"/>
        </w:rPr>
      </w:pPr>
    </w:p>
    <w:p>
      <w:pPr>
        <w:widowControl/>
        <w:tabs>
          <w:tab w:val="right" w:leader="dot" w:pos="8306"/>
        </w:tabs>
        <w:jc w:val="center"/>
        <w:rPr>
          <w:rFonts w:eastAsia="方正小标宋简体"/>
          <w:spacing w:val="-3"/>
          <w:kern w:val="0"/>
          <w:sz w:val="44"/>
          <w:szCs w:val="44"/>
          <w:lang w:val="zh-CN"/>
        </w:rPr>
      </w:pPr>
      <w:r>
        <w:rPr>
          <w:rFonts w:eastAsia="方正小标宋简体"/>
          <w:spacing w:val="-3"/>
          <w:kern w:val="0"/>
          <w:sz w:val="44"/>
          <w:szCs w:val="44"/>
          <w:lang w:val="zh-CN"/>
        </w:rPr>
        <w:t>不动产登记“最多跑一次”工作规范</w:t>
      </w:r>
    </w:p>
    <w:p>
      <w:pPr>
        <w:widowControl/>
        <w:tabs>
          <w:tab w:val="right" w:leader="dot" w:pos="8306"/>
        </w:tabs>
        <w:rPr>
          <w:rFonts w:eastAsia="仿宋"/>
          <w:spacing w:val="-3"/>
          <w:kern w:val="0"/>
          <w:sz w:val="32"/>
          <w:szCs w:val="32"/>
          <w:lang w:val="zh-CN"/>
        </w:rPr>
      </w:pPr>
    </w:p>
    <w:p>
      <w:pPr>
        <w:widowControl/>
        <w:tabs>
          <w:tab w:val="right" w:leader="dot" w:pos="8306"/>
        </w:tabs>
        <w:ind w:firstLine="628" w:firstLineChars="200"/>
        <w:rPr>
          <w:rFonts w:eastAsia="黑体"/>
          <w:bCs/>
          <w:spacing w:val="-3"/>
          <w:kern w:val="0"/>
          <w:sz w:val="32"/>
          <w:szCs w:val="32"/>
          <w:lang w:val="zh-CN"/>
        </w:rPr>
      </w:pPr>
      <w:r>
        <w:rPr>
          <w:rFonts w:hAnsi="黑体" w:eastAsia="黑体"/>
          <w:bCs/>
          <w:spacing w:val="-3"/>
          <w:kern w:val="0"/>
          <w:sz w:val="32"/>
          <w:szCs w:val="32"/>
          <w:lang w:val="zh-CN"/>
        </w:rPr>
        <w:t>一、基本要求</w:t>
      </w:r>
    </w:p>
    <w:p>
      <w:pPr>
        <w:widowControl/>
        <w:tabs>
          <w:tab w:val="right" w:leader="dot" w:pos="8306"/>
        </w:tabs>
        <w:ind w:firstLine="628" w:firstLineChars="200"/>
        <w:rPr>
          <w:rFonts w:eastAsia="仿宋_GB2312"/>
          <w:spacing w:val="-3"/>
          <w:kern w:val="0"/>
          <w:sz w:val="32"/>
          <w:szCs w:val="32"/>
          <w:lang w:val="zh-CN"/>
        </w:rPr>
      </w:pPr>
      <w:r>
        <w:rPr>
          <w:rFonts w:eastAsia="仿宋_GB2312"/>
          <w:spacing w:val="-3"/>
          <w:kern w:val="0"/>
          <w:sz w:val="32"/>
          <w:szCs w:val="32"/>
          <w:lang w:val="zh-CN"/>
        </w:rPr>
        <w:t>不动产登记“最多跑一次”是将不动产登记以及与之相关的房屋交易管理、税费征缴进行整合，从申请人向多部门递交多套材料转变为向不动产登记机构递交一套材料，从接受多部门多次串联审核整合为多部门依法分类并联审核，从在多部门间来回跑转变为“一窗受理、一站办结”，实现不动产登记“进一扇门、交一套资料、一次性缴费、领一次证（提供邮寄服务）”，从资料受理到登记发证全过程“最多跑一次”。</w:t>
      </w:r>
    </w:p>
    <w:p>
      <w:pPr>
        <w:widowControl/>
        <w:tabs>
          <w:tab w:val="right" w:leader="dot" w:pos="8306"/>
        </w:tabs>
        <w:ind w:firstLine="628" w:firstLineChars="200"/>
        <w:rPr>
          <w:rFonts w:eastAsia="黑体"/>
          <w:bCs/>
          <w:spacing w:val="-3"/>
          <w:kern w:val="0"/>
          <w:sz w:val="32"/>
          <w:szCs w:val="32"/>
          <w:lang w:val="zh-CN"/>
        </w:rPr>
      </w:pPr>
      <w:r>
        <w:rPr>
          <w:rFonts w:hAnsi="黑体" w:eastAsia="黑体"/>
          <w:bCs/>
          <w:spacing w:val="-3"/>
          <w:kern w:val="0"/>
          <w:sz w:val="32"/>
          <w:szCs w:val="32"/>
          <w:lang w:val="zh-CN"/>
        </w:rPr>
        <w:t>二、实现方式</w:t>
      </w:r>
    </w:p>
    <w:p>
      <w:pPr>
        <w:widowControl/>
        <w:tabs>
          <w:tab w:val="right" w:leader="dot" w:pos="8306"/>
        </w:tabs>
        <w:ind w:firstLine="628" w:firstLineChars="200"/>
        <w:rPr>
          <w:rFonts w:eastAsia="仿宋_GB2312"/>
          <w:spacing w:val="-3"/>
          <w:kern w:val="0"/>
          <w:sz w:val="32"/>
          <w:szCs w:val="32"/>
          <w:lang w:val="zh-CN"/>
        </w:rPr>
      </w:pPr>
      <w:r>
        <w:rPr>
          <w:rFonts w:eastAsia="仿宋_GB2312"/>
          <w:spacing w:val="-3"/>
          <w:kern w:val="0"/>
          <w:sz w:val="32"/>
          <w:szCs w:val="32"/>
          <w:lang w:val="zh-CN"/>
        </w:rPr>
        <w:t>“最多跑一次”有两种实现方式：</w:t>
      </w:r>
    </w:p>
    <w:p>
      <w:pPr>
        <w:widowControl/>
        <w:tabs>
          <w:tab w:val="right" w:leader="dot" w:pos="8306"/>
        </w:tabs>
        <w:ind w:firstLine="628" w:firstLineChars="200"/>
        <w:rPr>
          <w:rFonts w:eastAsia="仿宋_GB2312"/>
          <w:spacing w:val="-3"/>
          <w:kern w:val="0"/>
          <w:sz w:val="32"/>
          <w:szCs w:val="32"/>
          <w:lang w:val="zh-CN"/>
        </w:rPr>
      </w:pPr>
      <w:r>
        <w:rPr>
          <w:rFonts w:eastAsia="仿宋_GB2312"/>
          <w:spacing w:val="-3"/>
          <w:kern w:val="0"/>
          <w:sz w:val="32"/>
          <w:szCs w:val="32"/>
          <w:lang w:val="zh-CN"/>
        </w:rPr>
        <w:t>（一）申请人直接到不动产登记办事场所递交材料，缴纳有关税费，登记机构审核登记发证，在申请人同意的前提下，通过邮递方式送达证书（证明）。</w:t>
      </w:r>
    </w:p>
    <w:p>
      <w:pPr>
        <w:widowControl/>
        <w:tabs>
          <w:tab w:val="right" w:leader="dot" w:pos="8306"/>
        </w:tabs>
        <w:ind w:firstLine="628" w:firstLineChars="200"/>
        <w:rPr>
          <w:rFonts w:eastAsia="仿宋_GB2312"/>
          <w:spacing w:val="-3"/>
          <w:kern w:val="0"/>
          <w:sz w:val="32"/>
          <w:szCs w:val="32"/>
          <w:lang w:val="zh-CN"/>
        </w:rPr>
      </w:pPr>
      <w:r>
        <w:rPr>
          <w:rFonts w:eastAsia="仿宋_GB2312"/>
          <w:spacing w:val="-3"/>
          <w:kern w:val="0"/>
          <w:sz w:val="32"/>
          <w:szCs w:val="32"/>
          <w:lang w:val="zh-CN"/>
        </w:rPr>
        <w:t>（二）申请人通过互联网受理终端提交申请材料，登记人员网上审核认为符合登记条件的，通过短信、微信推送等方式告知申请人，申请人在约定的时间携带申请材料到不动产登记机构办事场所现场核验材料原件，缴纳税费并领取证书证明。</w:t>
      </w:r>
    </w:p>
    <w:p>
      <w:pPr>
        <w:widowControl/>
        <w:tabs>
          <w:tab w:val="right" w:leader="dot" w:pos="8306"/>
        </w:tabs>
        <w:ind w:firstLine="628" w:firstLineChars="200"/>
        <w:rPr>
          <w:rFonts w:eastAsia="黑体"/>
          <w:bCs/>
          <w:spacing w:val="-3"/>
          <w:kern w:val="0"/>
          <w:sz w:val="32"/>
          <w:szCs w:val="32"/>
          <w:lang w:val="zh-CN"/>
        </w:rPr>
      </w:pPr>
      <w:r>
        <w:rPr>
          <w:rFonts w:hAnsi="黑体" w:eastAsia="黑体"/>
          <w:bCs/>
          <w:spacing w:val="-3"/>
          <w:kern w:val="0"/>
          <w:sz w:val="32"/>
          <w:szCs w:val="32"/>
          <w:lang w:val="zh-CN"/>
        </w:rPr>
        <w:t>三、适用范围</w:t>
      </w:r>
    </w:p>
    <w:p>
      <w:pPr>
        <w:widowControl/>
        <w:tabs>
          <w:tab w:val="right" w:leader="dot" w:pos="8306"/>
        </w:tabs>
        <w:ind w:firstLine="628" w:firstLineChars="200"/>
        <w:rPr>
          <w:rFonts w:eastAsia="仿宋_GB2312"/>
          <w:spacing w:val="-3"/>
          <w:kern w:val="0"/>
          <w:sz w:val="32"/>
          <w:szCs w:val="32"/>
          <w:lang w:val="zh-CN"/>
        </w:rPr>
      </w:pPr>
      <w:r>
        <w:rPr>
          <w:rFonts w:eastAsia="仿宋_GB2312"/>
          <w:spacing w:val="-3"/>
          <w:kern w:val="0"/>
          <w:sz w:val="32"/>
          <w:szCs w:val="32"/>
          <w:lang w:val="zh-CN"/>
        </w:rPr>
        <w:t>当前纳入“最多跑一次”的主要是城镇房、地不动产登记，各地应当根据实际情况适时扩大“最多跑一次”范围并予以公示：</w:t>
      </w:r>
    </w:p>
    <w:p>
      <w:pPr>
        <w:widowControl/>
        <w:tabs>
          <w:tab w:val="right" w:leader="dot" w:pos="8306"/>
        </w:tabs>
        <w:jc w:val="center"/>
        <w:rPr>
          <w:rFonts w:eastAsia="楷体_GB2312"/>
          <w:kern w:val="0"/>
          <w:sz w:val="32"/>
          <w:szCs w:val="32"/>
        </w:rPr>
      </w:pPr>
      <w:r>
        <w:rPr>
          <w:rFonts w:eastAsia="楷体_GB2312"/>
          <w:kern w:val="0"/>
          <w:sz w:val="32"/>
          <w:szCs w:val="32"/>
          <w:lang w:val="zh-CN"/>
        </w:rPr>
        <w:t>当前不动产登记“最多跑一次”适用业务类型目录</w:t>
      </w:r>
    </w:p>
    <w:tbl>
      <w:tblPr>
        <w:tblStyle w:val="2"/>
        <w:tblW w:w="8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3606"/>
        <w:gridCol w:w="3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noWrap w:val="0"/>
            <w:vAlign w:val="center"/>
          </w:tcPr>
          <w:p>
            <w:pPr>
              <w:tabs>
                <w:tab w:val="left" w:pos="300"/>
                <w:tab w:val="left" w:leader="dot" w:pos="9120"/>
              </w:tabs>
              <w:spacing w:line="400" w:lineRule="exact"/>
              <w:jc w:val="center"/>
              <w:rPr>
                <w:rFonts w:eastAsia="黑体"/>
                <w:kern w:val="0"/>
                <w:sz w:val="28"/>
                <w:szCs w:val="28"/>
              </w:rPr>
            </w:pPr>
            <w:r>
              <w:rPr>
                <w:rFonts w:hAnsi="黑体" w:eastAsia="黑体"/>
                <w:kern w:val="0"/>
                <w:sz w:val="28"/>
                <w:szCs w:val="28"/>
              </w:rPr>
              <w:t>序号</w:t>
            </w:r>
          </w:p>
        </w:tc>
        <w:tc>
          <w:tcPr>
            <w:tcW w:w="3606" w:type="dxa"/>
            <w:noWrap w:val="0"/>
            <w:vAlign w:val="top"/>
          </w:tcPr>
          <w:p>
            <w:pPr>
              <w:widowControl/>
              <w:tabs>
                <w:tab w:val="left" w:pos="300"/>
                <w:tab w:val="left" w:leader="dot" w:pos="9120"/>
              </w:tabs>
              <w:spacing w:line="400" w:lineRule="exact"/>
              <w:jc w:val="center"/>
              <w:rPr>
                <w:rFonts w:eastAsia="黑体"/>
                <w:kern w:val="0"/>
                <w:sz w:val="28"/>
                <w:szCs w:val="28"/>
              </w:rPr>
            </w:pPr>
            <w:r>
              <w:rPr>
                <w:rFonts w:hAnsi="黑体" w:eastAsia="黑体"/>
                <w:kern w:val="0"/>
                <w:sz w:val="28"/>
                <w:szCs w:val="28"/>
              </w:rPr>
              <w:t>办理事项名称</w:t>
            </w:r>
          </w:p>
        </w:tc>
        <w:tc>
          <w:tcPr>
            <w:tcW w:w="3668" w:type="dxa"/>
            <w:noWrap w:val="0"/>
            <w:vAlign w:val="top"/>
          </w:tcPr>
          <w:p>
            <w:pPr>
              <w:widowControl/>
              <w:tabs>
                <w:tab w:val="left" w:pos="300"/>
                <w:tab w:val="left" w:leader="dot" w:pos="9120"/>
              </w:tabs>
              <w:spacing w:line="400" w:lineRule="exact"/>
              <w:jc w:val="center"/>
              <w:rPr>
                <w:rFonts w:eastAsia="黑体"/>
                <w:kern w:val="0"/>
                <w:sz w:val="28"/>
                <w:szCs w:val="28"/>
              </w:rPr>
            </w:pPr>
            <w:r>
              <w:rPr>
                <w:rFonts w:hAnsi="黑体" w:eastAsia="黑体"/>
                <w:kern w:val="0"/>
                <w:sz w:val="28"/>
                <w:szCs w:val="28"/>
              </w:rPr>
              <w:t>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noWrap w:val="0"/>
            <w:vAlign w:val="center"/>
          </w:tcPr>
          <w:p>
            <w:pPr>
              <w:widowControl/>
              <w:spacing w:line="400" w:lineRule="exact"/>
              <w:jc w:val="center"/>
              <w:textAlignment w:val="center"/>
              <w:rPr>
                <w:kern w:val="0"/>
                <w:sz w:val="28"/>
                <w:szCs w:val="28"/>
              </w:rPr>
            </w:pPr>
            <w:r>
              <w:rPr>
                <w:kern w:val="0"/>
                <w:sz w:val="28"/>
                <w:szCs w:val="28"/>
              </w:rPr>
              <w:t>1</w:t>
            </w:r>
          </w:p>
        </w:tc>
        <w:tc>
          <w:tcPr>
            <w:tcW w:w="3606" w:type="dxa"/>
            <w:noWrap w:val="0"/>
            <w:vAlign w:val="center"/>
          </w:tcPr>
          <w:p>
            <w:pPr>
              <w:widowControl/>
              <w:tabs>
                <w:tab w:val="left" w:pos="300"/>
                <w:tab w:val="left" w:leader="dot" w:pos="9120"/>
              </w:tabs>
              <w:spacing w:line="400" w:lineRule="exact"/>
              <w:rPr>
                <w:kern w:val="0"/>
                <w:sz w:val="28"/>
                <w:szCs w:val="28"/>
              </w:rPr>
            </w:pPr>
            <w:r>
              <w:rPr>
                <w:kern w:val="0"/>
                <w:sz w:val="28"/>
                <w:szCs w:val="28"/>
              </w:rPr>
              <w:t>国有建设用地使用权登记</w:t>
            </w:r>
          </w:p>
        </w:tc>
        <w:tc>
          <w:tcPr>
            <w:tcW w:w="3668" w:type="dxa"/>
            <w:noWrap w:val="0"/>
            <w:vAlign w:val="top"/>
          </w:tcPr>
          <w:p>
            <w:pPr>
              <w:widowControl/>
              <w:tabs>
                <w:tab w:val="left" w:pos="300"/>
                <w:tab w:val="left" w:leader="dot" w:pos="9120"/>
              </w:tabs>
              <w:spacing w:line="400" w:lineRule="exact"/>
              <w:rPr>
                <w:kern w:val="0"/>
                <w:sz w:val="28"/>
                <w:szCs w:val="28"/>
              </w:rPr>
            </w:pPr>
            <w:r>
              <w:rPr>
                <w:kern w:val="0"/>
                <w:sz w:val="28"/>
                <w:szCs w:val="28"/>
              </w:rPr>
              <w:t>国土资源、税务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noWrap w:val="0"/>
            <w:vAlign w:val="center"/>
          </w:tcPr>
          <w:p>
            <w:pPr>
              <w:spacing w:line="400" w:lineRule="exact"/>
              <w:ind w:left="-218" w:leftChars="-104" w:firstLine="218" w:firstLineChars="78"/>
              <w:jc w:val="center"/>
              <w:textAlignment w:val="center"/>
              <w:rPr>
                <w:kern w:val="0"/>
                <w:sz w:val="28"/>
                <w:szCs w:val="28"/>
              </w:rPr>
            </w:pPr>
            <w:r>
              <w:rPr>
                <w:kern w:val="0"/>
                <w:sz w:val="28"/>
                <w:szCs w:val="28"/>
              </w:rPr>
              <w:t>2</w:t>
            </w:r>
          </w:p>
        </w:tc>
        <w:tc>
          <w:tcPr>
            <w:tcW w:w="3606" w:type="dxa"/>
            <w:noWrap w:val="0"/>
            <w:vAlign w:val="center"/>
          </w:tcPr>
          <w:p>
            <w:pPr>
              <w:widowControl/>
              <w:tabs>
                <w:tab w:val="left" w:pos="300"/>
                <w:tab w:val="left" w:leader="dot" w:pos="9120"/>
              </w:tabs>
              <w:spacing w:line="400" w:lineRule="exact"/>
              <w:rPr>
                <w:kern w:val="0"/>
                <w:sz w:val="28"/>
                <w:szCs w:val="28"/>
              </w:rPr>
            </w:pPr>
            <w:r>
              <w:rPr>
                <w:kern w:val="0"/>
                <w:sz w:val="28"/>
                <w:szCs w:val="28"/>
              </w:rPr>
              <w:t>国有建设用地使用权及房屋所有权登记</w:t>
            </w:r>
          </w:p>
        </w:tc>
        <w:tc>
          <w:tcPr>
            <w:tcW w:w="3668" w:type="dxa"/>
            <w:noWrap w:val="0"/>
            <w:vAlign w:val="top"/>
          </w:tcPr>
          <w:p>
            <w:pPr>
              <w:widowControl/>
              <w:tabs>
                <w:tab w:val="left" w:pos="300"/>
                <w:tab w:val="left" w:leader="dot" w:pos="9120"/>
              </w:tabs>
              <w:spacing w:line="400" w:lineRule="exact"/>
              <w:rPr>
                <w:kern w:val="0"/>
                <w:sz w:val="28"/>
                <w:szCs w:val="28"/>
              </w:rPr>
            </w:pPr>
            <w:r>
              <w:rPr>
                <w:kern w:val="0"/>
                <w:sz w:val="28"/>
                <w:szCs w:val="28"/>
              </w:rPr>
              <w:t>国土资源、住房城乡建设、税务，政策性住房上市以及限购城市根据部门职能配置相关部门参与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noWrap w:val="0"/>
            <w:vAlign w:val="center"/>
          </w:tcPr>
          <w:p>
            <w:pPr>
              <w:spacing w:line="400" w:lineRule="exact"/>
              <w:jc w:val="center"/>
              <w:textAlignment w:val="center"/>
              <w:rPr>
                <w:kern w:val="0"/>
                <w:sz w:val="28"/>
                <w:szCs w:val="28"/>
              </w:rPr>
            </w:pPr>
            <w:r>
              <w:rPr>
                <w:kern w:val="0"/>
                <w:sz w:val="28"/>
                <w:szCs w:val="28"/>
              </w:rPr>
              <w:t>3</w:t>
            </w:r>
          </w:p>
        </w:tc>
        <w:tc>
          <w:tcPr>
            <w:tcW w:w="3606" w:type="dxa"/>
            <w:noWrap w:val="0"/>
            <w:vAlign w:val="center"/>
          </w:tcPr>
          <w:p>
            <w:pPr>
              <w:widowControl/>
              <w:tabs>
                <w:tab w:val="left" w:pos="300"/>
                <w:tab w:val="left" w:leader="dot" w:pos="9120"/>
              </w:tabs>
              <w:spacing w:line="400" w:lineRule="exact"/>
              <w:rPr>
                <w:kern w:val="0"/>
                <w:sz w:val="28"/>
                <w:szCs w:val="28"/>
              </w:rPr>
            </w:pPr>
            <w:r>
              <w:rPr>
                <w:kern w:val="0"/>
                <w:sz w:val="28"/>
                <w:szCs w:val="28"/>
              </w:rPr>
              <w:t>抵押权登记</w:t>
            </w:r>
          </w:p>
        </w:tc>
        <w:tc>
          <w:tcPr>
            <w:tcW w:w="3668" w:type="dxa"/>
            <w:noWrap w:val="0"/>
            <w:vAlign w:val="top"/>
          </w:tcPr>
          <w:p>
            <w:pPr>
              <w:widowControl/>
              <w:tabs>
                <w:tab w:val="left" w:pos="300"/>
                <w:tab w:val="left" w:leader="dot" w:pos="9120"/>
              </w:tabs>
              <w:spacing w:line="400" w:lineRule="exact"/>
              <w:rPr>
                <w:rFonts w:hint="eastAsia"/>
                <w:kern w:val="0"/>
                <w:sz w:val="28"/>
                <w:szCs w:val="28"/>
              </w:rPr>
            </w:pPr>
            <w:r>
              <w:rPr>
                <w:kern w:val="0"/>
                <w:sz w:val="28"/>
                <w:szCs w:val="28"/>
              </w:rPr>
              <w:t>国土资源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noWrap w:val="0"/>
            <w:vAlign w:val="center"/>
          </w:tcPr>
          <w:p>
            <w:pPr>
              <w:spacing w:line="400" w:lineRule="exact"/>
              <w:jc w:val="center"/>
              <w:textAlignment w:val="center"/>
              <w:rPr>
                <w:kern w:val="0"/>
                <w:sz w:val="28"/>
                <w:szCs w:val="28"/>
              </w:rPr>
            </w:pPr>
            <w:r>
              <w:rPr>
                <w:kern w:val="0"/>
                <w:sz w:val="28"/>
                <w:szCs w:val="28"/>
              </w:rPr>
              <w:t>4</w:t>
            </w:r>
          </w:p>
        </w:tc>
        <w:tc>
          <w:tcPr>
            <w:tcW w:w="3606" w:type="dxa"/>
            <w:noWrap w:val="0"/>
            <w:vAlign w:val="center"/>
          </w:tcPr>
          <w:p>
            <w:pPr>
              <w:widowControl/>
              <w:tabs>
                <w:tab w:val="left" w:pos="300"/>
                <w:tab w:val="left" w:leader="dot" w:pos="9120"/>
              </w:tabs>
              <w:spacing w:line="400" w:lineRule="exact"/>
              <w:rPr>
                <w:kern w:val="0"/>
                <w:sz w:val="28"/>
                <w:szCs w:val="28"/>
              </w:rPr>
            </w:pPr>
            <w:r>
              <w:rPr>
                <w:kern w:val="0"/>
                <w:sz w:val="28"/>
                <w:szCs w:val="28"/>
              </w:rPr>
              <w:t>预购商品房预告登记</w:t>
            </w:r>
          </w:p>
        </w:tc>
        <w:tc>
          <w:tcPr>
            <w:tcW w:w="3668" w:type="dxa"/>
            <w:noWrap w:val="0"/>
            <w:vAlign w:val="top"/>
          </w:tcPr>
          <w:p>
            <w:pPr>
              <w:widowControl/>
              <w:tabs>
                <w:tab w:val="left" w:pos="300"/>
                <w:tab w:val="left" w:leader="dot" w:pos="9120"/>
              </w:tabs>
              <w:spacing w:line="400" w:lineRule="exact"/>
              <w:rPr>
                <w:kern w:val="0"/>
                <w:sz w:val="28"/>
                <w:szCs w:val="28"/>
              </w:rPr>
            </w:pPr>
            <w:r>
              <w:rPr>
                <w:kern w:val="0"/>
                <w:sz w:val="28"/>
                <w:szCs w:val="28"/>
              </w:rPr>
              <w:t>国土资源、住房城乡建设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noWrap w:val="0"/>
            <w:vAlign w:val="center"/>
          </w:tcPr>
          <w:p>
            <w:pPr>
              <w:spacing w:line="400" w:lineRule="exact"/>
              <w:jc w:val="center"/>
              <w:textAlignment w:val="center"/>
              <w:rPr>
                <w:kern w:val="0"/>
                <w:sz w:val="28"/>
                <w:szCs w:val="28"/>
              </w:rPr>
            </w:pPr>
            <w:r>
              <w:rPr>
                <w:kern w:val="0"/>
                <w:sz w:val="28"/>
                <w:szCs w:val="28"/>
              </w:rPr>
              <w:t>5</w:t>
            </w:r>
          </w:p>
        </w:tc>
        <w:tc>
          <w:tcPr>
            <w:tcW w:w="3606" w:type="dxa"/>
            <w:noWrap w:val="0"/>
            <w:vAlign w:val="center"/>
          </w:tcPr>
          <w:p>
            <w:pPr>
              <w:widowControl/>
              <w:tabs>
                <w:tab w:val="left" w:pos="300"/>
                <w:tab w:val="left" w:leader="dot" w:pos="9120"/>
              </w:tabs>
              <w:spacing w:line="400" w:lineRule="exact"/>
              <w:rPr>
                <w:kern w:val="0"/>
                <w:sz w:val="28"/>
                <w:szCs w:val="28"/>
              </w:rPr>
            </w:pPr>
            <w:r>
              <w:rPr>
                <w:kern w:val="0"/>
                <w:sz w:val="28"/>
                <w:szCs w:val="28"/>
              </w:rPr>
              <w:t>预购商品房抵押权预告登记</w:t>
            </w:r>
          </w:p>
        </w:tc>
        <w:tc>
          <w:tcPr>
            <w:tcW w:w="3668" w:type="dxa"/>
            <w:noWrap w:val="0"/>
            <w:vAlign w:val="top"/>
          </w:tcPr>
          <w:p>
            <w:pPr>
              <w:widowControl/>
              <w:tabs>
                <w:tab w:val="left" w:pos="300"/>
                <w:tab w:val="left" w:leader="dot" w:pos="9120"/>
              </w:tabs>
              <w:spacing w:line="400" w:lineRule="exact"/>
              <w:rPr>
                <w:rFonts w:hint="eastAsia"/>
                <w:kern w:val="0"/>
                <w:sz w:val="28"/>
                <w:szCs w:val="28"/>
              </w:rPr>
            </w:pPr>
            <w:r>
              <w:rPr>
                <w:kern w:val="0"/>
                <w:sz w:val="28"/>
                <w:szCs w:val="28"/>
              </w:rPr>
              <w:t>国土资源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902" w:type="dxa"/>
            <w:noWrap w:val="0"/>
            <w:vAlign w:val="center"/>
          </w:tcPr>
          <w:p>
            <w:pPr>
              <w:spacing w:line="400" w:lineRule="exact"/>
              <w:jc w:val="center"/>
              <w:textAlignment w:val="center"/>
              <w:rPr>
                <w:kern w:val="0"/>
                <w:sz w:val="28"/>
                <w:szCs w:val="28"/>
              </w:rPr>
            </w:pPr>
            <w:r>
              <w:rPr>
                <w:kern w:val="0"/>
                <w:sz w:val="28"/>
                <w:szCs w:val="28"/>
              </w:rPr>
              <w:t>6</w:t>
            </w:r>
          </w:p>
        </w:tc>
        <w:tc>
          <w:tcPr>
            <w:tcW w:w="3606" w:type="dxa"/>
            <w:noWrap w:val="0"/>
            <w:vAlign w:val="center"/>
          </w:tcPr>
          <w:p>
            <w:pPr>
              <w:widowControl/>
              <w:tabs>
                <w:tab w:val="left" w:pos="300"/>
                <w:tab w:val="left" w:leader="dot" w:pos="9120"/>
              </w:tabs>
              <w:spacing w:line="400" w:lineRule="exact"/>
              <w:rPr>
                <w:kern w:val="0"/>
                <w:sz w:val="28"/>
                <w:szCs w:val="28"/>
              </w:rPr>
            </w:pPr>
            <w:r>
              <w:rPr>
                <w:kern w:val="0"/>
                <w:sz w:val="28"/>
                <w:szCs w:val="28"/>
              </w:rPr>
              <w:t>地役权登记</w:t>
            </w:r>
          </w:p>
        </w:tc>
        <w:tc>
          <w:tcPr>
            <w:tcW w:w="3668" w:type="dxa"/>
            <w:noWrap w:val="0"/>
            <w:vAlign w:val="top"/>
          </w:tcPr>
          <w:p>
            <w:pPr>
              <w:widowControl/>
              <w:tabs>
                <w:tab w:val="left" w:pos="300"/>
                <w:tab w:val="left" w:leader="dot" w:pos="9120"/>
              </w:tabs>
              <w:spacing w:line="400" w:lineRule="exact"/>
              <w:rPr>
                <w:kern w:val="0"/>
                <w:sz w:val="28"/>
                <w:szCs w:val="28"/>
              </w:rPr>
            </w:pPr>
            <w:r>
              <w:rPr>
                <w:kern w:val="0"/>
                <w:sz w:val="28"/>
                <w:szCs w:val="28"/>
              </w:rPr>
              <w:t>国土资源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noWrap w:val="0"/>
            <w:vAlign w:val="center"/>
          </w:tcPr>
          <w:p>
            <w:pPr>
              <w:spacing w:line="400" w:lineRule="exact"/>
              <w:jc w:val="center"/>
              <w:textAlignment w:val="center"/>
              <w:rPr>
                <w:kern w:val="0"/>
                <w:sz w:val="28"/>
                <w:szCs w:val="28"/>
              </w:rPr>
            </w:pPr>
            <w:r>
              <w:rPr>
                <w:kern w:val="0"/>
                <w:sz w:val="28"/>
                <w:szCs w:val="28"/>
              </w:rPr>
              <w:t>7</w:t>
            </w:r>
          </w:p>
        </w:tc>
        <w:tc>
          <w:tcPr>
            <w:tcW w:w="3606" w:type="dxa"/>
            <w:noWrap w:val="0"/>
            <w:vAlign w:val="center"/>
          </w:tcPr>
          <w:p>
            <w:pPr>
              <w:widowControl/>
              <w:tabs>
                <w:tab w:val="left" w:pos="300"/>
                <w:tab w:val="left" w:leader="dot" w:pos="9120"/>
              </w:tabs>
              <w:spacing w:line="400" w:lineRule="exact"/>
              <w:rPr>
                <w:kern w:val="0"/>
                <w:sz w:val="28"/>
                <w:szCs w:val="28"/>
              </w:rPr>
            </w:pPr>
            <w:r>
              <w:rPr>
                <w:kern w:val="0"/>
                <w:sz w:val="28"/>
                <w:szCs w:val="28"/>
              </w:rPr>
              <w:t>更正登记</w:t>
            </w:r>
          </w:p>
        </w:tc>
        <w:tc>
          <w:tcPr>
            <w:tcW w:w="3668" w:type="dxa"/>
            <w:noWrap w:val="0"/>
            <w:vAlign w:val="top"/>
          </w:tcPr>
          <w:p>
            <w:pPr>
              <w:widowControl/>
              <w:tabs>
                <w:tab w:val="left" w:pos="300"/>
                <w:tab w:val="left" w:leader="dot" w:pos="9120"/>
              </w:tabs>
              <w:spacing w:line="400" w:lineRule="exact"/>
              <w:rPr>
                <w:kern w:val="0"/>
                <w:sz w:val="28"/>
                <w:szCs w:val="28"/>
              </w:rPr>
            </w:pPr>
            <w:r>
              <w:rPr>
                <w:kern w:val="0"/>
                <w:sz w:val="28"/>
                <w:szCs w:val="28"/>
              </w:rPr>
              <w:t>国土资源、原登记涉及的部门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noWrap w:val="0"/>
            <w:vAlign w:val="center"/>
          </w:tcPr>
          <w:p>
            <w:pPr>
              <w:spacing w:line="400" w:lineRule="exact"/>
              <w:jc w:val="center"/>
              <w:textAlignment w:val="center"/>
              <w:rPr>
                <w:kern w:val="0"/>
                <w:sz w:val="28"/>
                <w:szCs w:val="28"/>
              </w:rPr>
            </w:pPr>
            <w:r>
              <w:rPr>
                <w:kern w:val="0"/>
                <w:sz w:val="28"/>
                <w:szCs w:val="28"/>
              </w:rPr>
              <w:t>8</w:t>
            </w:r>
          </w:p>
        </w:tc>
        <w:tc>
          <w:tcPr>
            <w:tcW w:w="3606" w:type="dxa"/>
            <w:noWrap w:val="0"/>
            <w:vAlign w:val="center"/>
          </w:tcPr>
          <w:p>
            <w:pPr>
              <w:widowControl/>
              <w:tabs>
                <w:tab w:val="left" w:pos="300"/>
                <w:tab w:val="left" w:leader="dot" w:pos="9120"/>
              </w:tabs>
              <w:spacing w:line="400" w:lineRule="exact"/>
              <w:rPr>
                <w:kern w:val="0"/>
                <w:sz w:val="28"/>
                <w:szCs w:val="28"/>
              </w:rPr>
            </w:pPr>
            <w:r>
              <w:rPr>
                <w:kern w:val="0"/>
                <w:sz w:val="28"/>
                <w:szCs w:val="28"/>
              </w:rPr>
              <w:t>异议登记</w:t>
            </w:r>
          </w:p>
        </w:tc>
        <w:tc>
          <w:tcPr>
            <w:tcW w:w="3668" w:type="dxa"/>
            <w:noWrap w:val="0"/>
            <w:vAlign w:val="top"/>
          </w:tcPr>
          <w:p>
            <w:pPr>
              <w:widowControl/>
              <w:tabs>
                <w:tab w:val="left" w:pos="300"/>
                <w:tab w:val="left" w:leader="dot" w:pos="9120"/>
              </w:tabs>
              <w:spacing w:line="400" w:lineRule="exact"/>
              <w:rPr>
                <w:kern w:val="0"/>
                <w:sz w:val="28"/>
                <w:szCs w:val="28"/>
              </w:rPr>
            </w:pPr>
            <w:r>
              <w:rPr>
                <w:kern w:val="0"/>
                <w:sz w:val="28"/>
                <w:szCs w:val="28"/>
              </w:rPr>
              <w:t>国土资源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noWrap w:val="0"/>
            <w:vAlign w:val="center"/>
          </w:tcPr>
          <w:p>
            <w:pPr>
              <w:spacing w:line="400" w:lineRule="exact"/>
              <w:jc w:val="center"/>
              <w:textAlignment w:val="center"/>
              <w:rPr>
                <w:kern w:val="0"/>
                <w:sz w:val="28"/>
                <w:szCs w:val="28"/>
              </w:rPr>
            </w:pPr>
            <w:r>
              <w:rPr>
                <w:kern w:val="0"/>
                <w:sz w:val="28"/>
                <w:szCs w:val="28"/>
              </w:rPr>
              <w:t>9</w:t>
            </w:r>
          </w:p>
        </w:tc>
        <w:tc>
          <w:tcPr>
            <w:tcW w:w="3606" w:type="dxa"/>
            <w:noWrap w:val="0"/>
            <w:vAlign w:val="center"/>
          </w:tcPr>
          <w:p>
            <w:pPr>
              <w:widowControl/>
              <w:tabs>
                <w:tab w:val="left" w:pos="300"/>
                <w:tab w:val="left" w:leader="dot" w:pos="9120"/>
              </w:tabs>
              <w:spacing w:line="400" w:lineRule="exact"/>
              <w:rPr>
                <w:kern w:val="0"/>
                <w:sz w:val="28"/>
                <w:szCs w:val="28"/>
              </w:rPr>
            </w:pPr>
            <w:r>
              <w:rPr>
                <w:kern w:val="0"/>
                <w:sz w:val="28"/>
                <w:szCs w:val="28"/>
              </w:rPr>
              <w:t>查封登记</w:t>
            </w:r>
          </w:p>
        </w:tc>
        <w:tc>
          <w:tcPr>
            <w:tcW w:w="3668" w:type="dxa"/>
            <w:noWrap w:val="0"/>
            <w:vAlign w:val="top"/>
          </w:tcPr>
          <w:p>
            <w:pPr>
              <w:widowControl/>
              <w:tabs>
                <w:tab w:val="left" w:pos="300"/>
                <w:tab w:val="left" w:leader="dot" w:pos="9120"/>
              </w:tabs>
              <w:spacing w:line="400" w:lineRule="exact"/>
              <w:rPr>
                <w:kern w:val="0"/>
                <w:sz w:val="28"/>
                <w:szCs w:val="28"/>
              </w:rPr>
            </w:pPr>
            <w:r>
              <w:rPr>
                <w:kern w:val="0"/>
                <w:sz w:val="28"/>
                <w:szCs w:val="28"/>
              </w:rPr>
              <w:t>国土资源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noWrap w:val="0"/>
            <w:vAlign w:val="center"/>
          </w:tcPr>
          <w:p>
            <w:pPr>
              <w:spacing w:line="400" w:lineRule="exact"/>
              <w:jc w:val="center"/>
              <w:textAlignment w:val="center"/>
              <w:rPr>
                <w:kern w:val="0"/>
                <w:sz w:val="28"/>
                <w:szCs w:val="28"/>
              </w:rPr>
            </w:pPr>
            <w:r>
              <w:rPr>
                <w:kern w:val="0"/>
                <w:sz w:val="28"/>
                <w:szCs w:val="28"/>
              </w:rPr>
              <w:t>10</w:t>
            </w:r>
          </w:p>
        </w:tc>
        <w:tc>
          <w:tcPr>
            <w:tcW w:w="3606" w:type="dxa"/>
            <w:noWrap w:val="0"/>
            <w:vAlign w:val="center"/>
          </w:tcPr>
          <w:p>
            <w:pPr>
              <w:widowControl/>
              <w:tabs>
                <w:tab w:val="left" w:pos="300"/>
                <w:tab w:val="left" w:leader="dot" w:pos="9120"/>
              </w:tabs>
              <w:spacing w:line="400" w:lineRule="exact"/>
              <w:rPr>
                <w:kern w:val="0"/>
                <w:sz w:val="28"/>
                <w:szCs w:val="28"/>
              </w:rPr>
            </w:pPr>
            <w:r>
              <w:rPr>
                <w:kern w:val="0"/>
                <w:sz w:val="28"/>
                <w:szCs w:val="28"/>
              </w:rPr>
              <w:t>补（换）证登记</w:t>
            </w:r>
          </w:p>
        </w:tc>
        <w:tc>
          <w:tcPr>
            <w:tcW w:w="3668" w:type="dxa"/>
            <w:noWrap w:val="0"/>
            <w:vAlign w:val="top"/>
          </w:tcPr>
          <w:p>
            <w:pPr>
              <w:widowControl/>
              <w:tabs>
                <w:tab w:val="left" w:pos="300"/>
                <w:tab w:val="left" w:leader="dot" w:pos="9120"/>
              </w:tabs>
              <w:spacing w:line="400" w:lineRule="exact"/>
              <w:rPr>
                <w:kern w:val="0"/>
                <w:sz w:val="28"/>
                <w:szCs w:val="28"/>
              </w:rPr>
            </w:pPr>
            <w:r>
              <w:rPr>
                <w:kern w:val="0"/>
                <w:sz w:val="28"/>
                <w:szCs w:val="28"/>
              </w:rPr>
              <w:t>国土资源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2" w:type="dxa"/>
            <w:noWrap w:val="0"/>
            <w:vAlign w:val="center"/>
          </w:tcPr>
          <w:p>
            <w:pPr>
              <w:spacing w:line="400" w:lineRule="exact"/>
              <w:jc w:val="center"/>
              <w:textAlignment w:val="center"/>
              <w:rPr>
                <w:kern w:val="0"/>
                <w:sz w:val="28"/>
                <w:szCs w:val="28"/>
              </w:rPr>
            </w:pPr>
            <w:r>
              <w:rPr>
                <w:kern w:val="0"/>
                <w:sz w:val="28"/>
                <w:szCs w:val="28"/>
              </w:rPr>
              <w:t>11</w:t>
            </w:r>
          </w:p>
        </w:tc>
        <w:tc>
          <w:tcPr>
            <w:tcW w:w="3606" w:type="dxa"/>
            <w:noWrap w:val="0"/>
            <w:vAlign w:val="center"/>
          </w:tcPr>
          <w:p>
            <w:pPr>
              <w:widowControl/>
              <w:tabs>
                <w:tab w:val="left" w:pos="300"/>
                <w:tab w:val="left" w:leader="dot" w:pos="9120"/>
              </w:tabs>
              <w:spacing w:line="400" w:lineRule="exact"/>
              <w:rPr>
                <w:kern w:val="0"/>
                <w:sz w:val="28"/>
                <w:szCs w:val="28"/>
              </w:rPr>
            </w:pPr>
            <w:r>
              <w:rPr>
                <w:kern w:val="0"/>
                <w:sz w:val="28"/>
                <w:szCs w:val="28"/>
              </w:rPr>
              <w:t>不动产登记信息查询和住房交易信息查询（含未登记的房屋信息查询）</w:t>
            </w:r>
          </w:p>
        </w:tc>
        <w:tc>
          <w:tcPr>
            <w:tcW w:w="3668" w:type="dxa"/>
            <w:noWrap w:val="0"/>
            <w:vAlign w:val="top"/>
          </w:tcPr>
          <w:p>
            <w:pPr>
              <w:widowControl/>
              <w:tabs>
                <w:tab w:val="left" w:pos="300"/>
                <w:tab w:val="left" w:leader="dot" w:pos="9120"/>
              </w:tabs>
              <w:spacing w:line="400" w:lineRule="exact"/>
              <w:rPr>
                <w:kern w:val="0"/>
                <w:sz w:val="28"/>
                <w:szCs w:val="28"/>
              </w:rPr>
            </w:pPr>
            <w:r>
              <w:rPr>
                <w:kern w:val="0"/>
                <w:sz w:val="28"/>
                <w:szCs w:val="28"/>
              </w:rPr>
              <w:t>国土资源、住房城乡建设</w:t>
            </w:r>
          </w:p>
        </w:tc>
      </w:tr>
    </w:tbl>
    <w:p>
      <w:pPr>
        <w:widowControl/>
        <w:tabs>
          <w:tab w:val="right" w:leader="dot" w:pos="8306"/>
        </w:tabs>
        <w:ind w:firstLine="640" w:firstLineChars="200"/>
        <w:rPr>
          <w:rFonts w:eastAsia="仿宋_GB2312"/>
          <w:kern w:val="0"/>
          <w:sz w:val="32"/>
          <w:szCs w:val="32"/>
          <w:lang w:val="zh-CN"/>
        </w:rPr>
      </w:pPr>
      <w:r>
        <w:rPr>
          <w:rFonts w:eastAsia="仿宋_GB2312"/>
          <w:kern w:val="0"/>
          <w:sz w:val="32"/>
          <w:szCs w:val="32"/>
          <w:lang w:val="zh-CN"/>
        </w:rPr>
        <w:t>有下列情形的，不属于“最多跑一次”范围：</w:t>
      </w:r>
    </w:p>
    <w:p>
      <w:pPr>
        <w:widowControl/>
        <w:tabs>
          <w:tab w:val="right" w:leader="dot" w:pos="8306"/>
        </w:tabs>
        <w:ind w:firstLine="640" w:firstLineChars="200"/>
        <w:rPr>
          <w:rFonts w:eastAsia="仿宋_GB2312"/>
          <w:kern w:val="0"/>
          <w:sz w:val="32"/>
          <w:szCs w:val="32"/>
          <w:lang w:val="zh-CN"/>
        </w:rPr>
      </w:pPr>
      <w:r>
        <w:rPr>
          <w:rFonts w:eastAsia="仿宋_GB2312"/>
          <w:kern w:val="0"/>
          <w:sz w:val="32"/>
          <w:szCs w:val="32"/>
          <w:lang w:val="zh-CN"/>
        </w:rPr>
        <w:t>（一）不动产权属有争议的；</w:t>
      </w:r>
    </w:p>
    <w:p>
      <w:pPr>
        <w:widowControl/>
        <w:tabs>
          <w:tab w:val="right" w:leader="dot" w:pos="8306"/>
        </w:tabs>
        <w:ind w:firstLine="640" w:firstLineChars="200"/>
        <w:rPr>
          <w:rFonts w:eastAsia="仿宋_GB2312"/>
          <w:kern w:val="0"/>
          <w:sz w:val="32"/>
          <w:szCs w:val="32"/>
          <w:lang w:val="zh-CN"/>
        </w:rPr>
      </w:pPr>
      <w:r>
        <w:rPr>
          <w:rFonts w:eastAsia="仿宋_GB2312"/>
          <w:kern w:val="0"/>
          <w:sz w:val="32"/>
          <w:szCs w:val="32"/>
          <w:lang w:val="zh-CN"/>
        </w:rPr>
        <w:t>（二）申请材料不齐全，需要补正材料的；</w:t>
      </w:r>
    </w:p>
    <w:p>
      <w:pPr>
        <w:widowControl/>
        <w:tabs>
          <w:tab w:val="right" w:leader="dot" w:pos="8306"/>
        </w:tabs>
        <w:ind w:firstLine="640" w:firstLineChars="200"/>
        <w:rPr>
          <w:rFonts w:eastAsia="仿宋_GB2312"/>
          <w:kern w:val="0"/>
          <w:sz w:val="32"/>
          <w:szCs w:val="32"/>
          <w:lang w:val="zh-CN"/>
        </w:rPr>
      </w:pPr>
      <w:r>
        <w:rPr>
          <w:rFonts w:eastAsia="仿宋_GB2312"/>
          <w:kern w:val="0"/>
          <w:sz w:val="32"/>
          <w:szCs w:val="32"/>
          <w:lang w:val="zh-CN"/>
        </w:rPr>
        <w:t>（三）存在违法行为未处理等情形，不符合登记条件的；</w:t>
      </w:r>
    </w:p>
    <w:p>
      <w:pPr>
        <w:widowControl/>
        <w:tabs>
          <w:tab w:val="right" w:leader="dot" w:pos="8306"/>
        </w:tabs>
        <w:ind w:firstLine="640" w:firstLineChars="200"/>
        <w:rPr>
          <w:rFonts w:eastAsia="仿宋_GB2312"/>
          <w:kern w:val="0"/>
          <w:sz w:val="32"/>
          <w:szCs w:val="32"/>
          <w:lang w:val="zh-CN"/>
        </w:rPr>
      </w:pPr>
      <w:r>
        <w:rPr>
          <w:rFonts w:eastAsia="仿宋_GB2312"/>
          <w:kern w:val="0"/>
          <w:sz w:val="32"/>
          <w:szCs w:val="32"/>
          <w:lang w:val="zh-CN"/>
        </w:rPr>
        <w:t>（四）申请人未及时缴清相关税费的；</w:t>
      </w:r>
    </w:p>
    <w:p>
      <w:pPr>
        <w:widowControl/>
        <w:tabs>
          <w:tab w:val="right" w:leader="dot" w:pos="8306"/>
        </w:tabs>
        <w:ind w:firstLine="640" w:firstLineChars="200"/>
        <w:rPr>
          <w:rFonts w:eastAsia="仿宋_GB2312"/>
          <w:kern w:val="0"/>
          <w:sz w:val="32"/>
          <w:szCs w:val="32"/>
          <w:lang w:val="zh-CN"/>
        </w:rPr>
      </w:pPr>
      <w:r>
        <w:rPr>
          <w:rFonts w:eastAsia="仿宋_GB2312"/>
          <w:kern w:val="0"/>
          <w:sz w:val="32"/>
          <w:szCs w:val="32"/>
          <w:lang w:val="zh-CN"/>
        </w:rPr>
        <w:t>（五）政策性住房上市、划拨土地上不动产转让等需完成前置审核审批或需补交土地出让金的；</w:t>
      </w:r>
    </w:p>
    <w:p>
      <w:pPr>
        <w:widowControl/>
        <w:tabs>
          <w:tab w:val="right" w:leader="dot" w:pos="8306"/>
        </w:tabs>
        <w:ind w:firstLine="640" w:firstLineChars="200"/>
        <w:rPr>
          <w:rFonts w:eastAsia="仿宋_GB2312"/>
          <w:kern w:val="0"/>
          <w:sz w:val="32"/>
          <w:szCs w:val="32"/>
          <w:lang w:val="zh-CN"/>
        </w:rPr>
      </w:pPr>
      <w:r>
        <w:rPr>
          <w:rFonts w:eastAsia="仿宋_GB2312"/>
          <w:kern w:val="0"/>
          <w:sz w:val="32"/>
          <w:szCs w:val="32"/>
          <w:lang w:val="zh-CN"/>
        </w:rPr>
        <w:t>（六）依法需要履行实地查看、调查、公告等法定程序的；</w:t>
      </w:r>
    </w:p>
    <w:p>
      <w:pPr>
        <w:widowControl/>
        <w:tabs>
          <w:tab w:val="right" w:leader="dot" w:pos="8306"/>
        </w:tabs>
        <w:ind w:firstLine="640" w:firstLineChars="200"/>
        <w:rPr>
          <w:rFonts w:eastAsia="仿宋_GB2312"/>
          <w:kern w:val="0"/>
          <w:sz w:val="32"/>
          <w:szCs w:val="32"/>
          <w:lang w:val="zh-CN"/>
        </w:rPr>
      </w:pPr>
      <w:r>
        <w:rPr>
          <w:rFonts w:eastAsia="仿宋_GB2312"/>
          <w:kern w:val="0"/>
          <w:sz w:val="32"/>
          <w:szCs w:val="32"/>
          <w:lang w:val="zh-CN"/>
        </w:rPr>
        <w:t>（七）现场申请符合登记发证条件，但申请人自愿选择到不动产登记机构现场领取证书证明的。</w:t>
      </w:r>
    </w:p>
    <w:p>
      <w:pPr>
        <w:widowControl/>
        <w:tabs>
          <w:tab w:val="right" w:leader="dot" w:pos="8306"/>
        </w:tabs>
        <w:ind w:firstLine="640" w:firstLineChars="200"/>
        <w:rPr>
          <w:rFonts w:eastAsia="黑体"/>
          <w:bCs/>
          <w:kern w:val="0"/>
          <w:sz w:val="32"/>
          <w:szCs w:val="32"/>
          <w:lang w:val="zh-CN"/>
        </w:rPr>
      </w:pPr>
      <w:r>
        <w:rPr>
          <w:rFonts w:eastAsia="黑体"/>
          <w:bCs/>
          <w:kern w:val="0"/>
          <w:sz w:val="32"/>
          <w:szCs w:val="32"/>
          <w:lang w:val="zh-CN"/>
        </w:rPr>
        <w:t>四、制度保障</w:t>
      </w:r>
    </w:p>
    <w:p>
      <w:pPr>
        <w:widowControl/>
        <w:tabs>
          <w:tab w:val="right" w:leader="dot" w:pos="8306"/>
        </w:tabs>
        <w:ind w:firstLine="640" w:firstLineChars="200"/>
        <w:rPr>
          <w:rFonts w:eastAsia="仿宋_GB2312"/>
          <w:kern w:val="0"/>
          <w:sz w:val="32"/>
          <w:szCs w:val="32"/>
          <w:lang w:val="zh-CN"/>
        </w:rPr>
      </w:pPr>
      <w:r>
        <w:rPr>
          <w:rFonts w:eastAsia="楷体_GB2312"/>
          <w:bCs/>
          <w:kern w:val="0"/>
          <w:sz w:val="32"/>
          <w:szCs w:val="32"/>
          <w:lang w:val="zh-CN"/>
        </w:rPr>
        <w:t>（一）信息公开制度</w:t>
      </w:r>
      <w:r>
        <w:rPr>
          <w:rFonts w:hint="eastAsia" w:eastAsia="楷体_GB2312"/>
          <w:bCs/>
          <w:kern w:val="0"/>
          <w:sz w:val="32"/>
          <w:szCs w:val="32"/>
          <w:lang w:val="zh-CN"/>
        </w:rPr>
        <w:t>。</w:t>
      </w:r>
      <w:r>
        <w:rPr>
          <w:rFonts w:eastAsia="仿宋_GB2312"/>
          <w:kern w:val="0"/>
          <w:sz w:val="32"/>
          <w:szCs w:val="32"/>
          <w:lang w:val="zh-CN"/>
        </w:rPr>
        <w:t>主动将不动产登记机构名称、办事地点、工作时间、咨询方式和各类不动产登记事项的办理依据、办理条件、申请材料、办理流程、办理时限、办理结果、查询方式等内容，通过政府门户网站、登记机构门户网站、登记机构办事大厅工作指南、网上申请终端等方式向社会公开公示。</w:t>
      </w:r>
    </w:p>
    <w:p>
      <w:pPr>
        <w:widowControl/>
        <w:tabs>
          <w:tab w:val="right" w:leader="dot" w:pos="8306"/>
        </w:tabs>
        <w:ind w:firstLine="640" w:firstLineChars="200"/>
        <w:rPr>
          <w:rFonts w:eastAsia="仿宋_GB2312"/>
          <w:kern w:val="0"/>
          <w:sz w:val="32"/>
          <w:szCs w:val="32"/>
          <w:lang w:val="zh-CN"/>
        </w:rPr>
      </w:pPr>
      <w:r>
        <w:rPr>
          <w:rFonts w:eastAsia="楷体_GB2312"/>
          <w:bCs/>
          <w:kern w:val="0"/>
          <w:sz w:val="32"/>
          <w:szCs w:val="32"/>
          <w:lang w:val="zh-CN"/>
        </w:rPr>
        <w:t>（二）一窗受理制度</w:t>
      </w:r>
      <w:r>
        <w:rPr>
          <w:rFonts w:hint="eastAsia" w:eastAsia="楷体_GB2312"/>
          <w:bCs/>
          <w:kern w:val="0"/>
          <w:sz w:val="32"/>
          <w:szCs w:val="32"/>
          <w:lang w:val="zh-CN"/>
        </w:rPr>
        <w:t>。</w:t>
      </w:r>
      <w:r>
        <w:rPr>
          <w:rFonts w:eastAsia="仿宋_GB2312"/>
          <w:kern w:val="0"/>
          <w:sz w:val="32"/>
          <w:szCs w:val="32"/>
          <w:lang w:val="zh-CN"/>
        </w:rPr>
        <w:t>设立综合受理窗口，明确受理范围，制定</w:t>
      </w:r>
      <w:r>
        <w:rPr>
          <w:rFonts w:hint="eastAsia" w:eastAsia="仿宋_GB2312"/>
          <w:kern w:val="0"/>
          <w:sz w:val="32"/>
          <w:szCs w:val="32"/>
          <w:lang w:val="zh-CN"/>
        </w:rPr>
        <w:t>申请</w:t>
      </w:r>
      <w:r>
        <w:rPr>
          <w:rFonts w:eastAsia="仿宋_GB2312"/>
          <w:kern w:val="0"/>
          <w:sz w:val="32"/>
          <w:szCs w:val="32"/>
          <w:lang w:val="zh-CN"/>
        </w:rPr>
        <w:t>材料清单，调整优化登记流程，实行前台一窗受理、后台分发审核（限于依法需要相关部门并联审核的事项），申请材料信息共享，办理环节统一督办，及时评价反馈办理情况。</w:t>
      </w:r>
    </w:p>
    <w:p>
      <w:pPr>
        <w:widowControl/>
        <w:tabs>
          <w:tab w:val="right" w:leader="dot" w:pos="8306"/>
        </w:tabs>
        <w:ind w:firstLine="640" w:firstLineChars="200"/>
        <w:rPr>
          <w:rFonts w:eastAsia="仿宋_GB2312"/>
          <w:kern w:val="0"/>
          <w:sz w:val="32"/>
          <w:szCs w:val="32"/>
          <w:lang w:val="zh-CN"/>
        </w:rPr>
      </w:pPr>
      <w:r>
        <w:rPr>
          <w:rFonts w:eastAsia="楷体_GB2312"/>
          <w:bCs/>
          <w:kern w:val="0"/>
          <w:sz w:val="32"/>
          <w:szCs w:val="32"/>
          <w:lang w:val="zh-CN"/>
        </w:rPr>
        <w:t>（三）首问负责制度</w:t>
      </w:r>
      <w:r>
        <w:rPr>
          <w:rFonts w:hint="eastAsia" w:eastAsia="楷体_GB2312"/>
          <w:bCs/>
          <w:kern w:val="0"/>
          <w:sz w:val="32"/>
          <w:szCs w:val="32"/>
          <w:lang w:val="zh-CN"/>
        </w:rPr>
        <w:t>。</w:t>
      </w:r>
      <w:r>
        <w:rPr>
          <w:rFonts w:eastAsia="仿宋_GB2312"/>
          <w:kern w:val="0"/>
          <w:sz w:val="32"/>
          <w:szCs w:val="32"/>
          <w:lang w:val="zh-CN"/>
        </w:rPr>
        <w:t>群众来办事大厅申请办理登记事项或咨询相关事项时，在岗被询问的工作人员即为首问责任人。首问责任人对群众提出的问题或要求，无论是否是自己职责（权）范围内的事，都要给群众一个满意的答复。对职责（权）范围内的事，若手续完备，首问责任人要在规定的时限内予以办结；若手续不完备，应一次性告</w:t>
      </w:r>
      <w:r>
        <w:rPr>
          <w:rFonts w:hint="eastAsia" w:eastAsia="仿宋_GB2312"/>
          <w:kern w:val="0"/>
          <w:sz w:val="32"/>
          <w:szCs w:val="32"/>
          <w:lang w:val="zh-CN"/>
        </w:rPr>
        <w:t>知</w:t>
      </w:r>
      <w:r>
        <w:rPr>
          <w:rFonts w:eastAsia="仿宋_GB2312"/>
          <w:kern w:val="0"/>
          <w:sz w:val="32"/>
          <w:szCs w:val="32"/>
          <w:lang w:val="zh-CN"/>
        </w:rPr>
        <w:t>其全部办理要求和所需的文书材料。对非自己职责（权）范围内的事，首问责任人应根据群众办理事项，负责引导到相应窗口，让群众方便、快捷地找到经办人员并及时办事。对不遵守首问责任制，造成不良影响的，要给予相应处理。</w:t>
      </w:r>
    </w:p>
    <w:p>
      <w:pPr>
        <w:widowControl/>
        <w:tabs>
          <w:tab w:val="right" w:leader="dot" w:pos="8306"/>
        </w:tabs>
        <w:spacing w:line="600" w:lineRule="exact"/>
        <w:ind w:firstLine="640" w:firstLineChars="200"/>
        <w:rPr>
          <w:rFonts w:eastAsia="仿宋_GB2312"/>
          <w:kern w:val="0"/>
          <w:sz w:val="32"/>
          <w:szCs w:val="32"/>
          <w:lang w:val="zh-CN"/>
        </w:rPr>
      </w:pPr>
      <w:r>
        <w:rPr>
          <w:rFonts w:eastAsia="楷体_GB2312"/>
          <w:bCs/>
          <w:kern w:val="0"/>
          <w:sz w:val="32"/>
          <w:szCs w:val="32"/>
          <w:lang w:val="zh-CN"/>
        </w:rPr>
        <w:t>（四）顶岗补位制度</w:t>
      </w:r>
      <w:r>
        <w:rPr>
          <w:rFonts w:hint="eastAsia" w:eastAsia="楷体_GB2312"/>
          <w:bCs/>
          <w:kern w:val="0"/>
          <w:sz w:val="32"/>
          <w:szCs w:val="32"/>
          <w:lang w:val="zh-CN"/>
        </w:rPr>
        <w:t>。</w:t>
      </w:r>
      <w:r>
        <w:rPr>
          <w:rFonts w:eastAsia="仿宋_GB2312"/>
          <w:kern w:val="0"/>
          <w:sz w:val="32"/>
          <w:szCs w:val="32"/>
          <w:lang w:val="zh-CN"/>
        </w:rPr>
        <w:t>在明确各岗位各环节工作职责的基础上，对每项工作明确由相同或相似岗位的两名以上工作人员负责，在工作日内实行顶岗或互为备岗，以保证工作连续性。工作人员因开会、出差、请</w:t>
      </w:r>
      <w:r>
        <w:rPr>
          <w:rFonts w:hint="eastAsia" w:eastAsia="仿宋_GB2312"/>
          <w:kern w:val="0"/>
          <w:sz w:val="32"/>
          <w:szCs w:val="32"/>
          <w:lang w:val="zh-CN"/>
        </w:rPr>
        <w:t>休</w:t>
      </w:r>
      <w:r>
        <w:rPr>
          <w:rFonts w:eastAsia="仿宋_GB2312"/>
          <w:kern w:val="0"/>
          <w:sz w:val="32"/>
          <w:szCs w:val="32"/>
          <w:lang w:val="zh-CN"/>
        </w:rPr>
        <w:t>假或其他原因无法到岗的，应在离岗前向负责人汇报正在办理和待办的事项，并做好交接手续，负责人应及时指定人员代行其职责。互为顶岗备岗工作人员不得同时休假或离岗，各岗位做好应急预案。</w:t>
      </w:r>
    </w:p>
    <w:p>
      <w:pPr>
        <w:widowControl/>
        <w:tabs>
          <w:tab w:val="right" w:leader="dot" w:pos="8306"/>
        </w:tabs>
        <w:spacing w:line="600" w:lineRule="exact"/>
        <w:ind w:firstLine="640" w:firstLineChars="200"/>
        <w:rPr>
          <w:rFonts w:eastAsia="仿宋_GB2312"/>
          <w:spacing w:val="-2"/>
          <w:kern w:val="0"/>
          <w:sz w:val="32"/>
          <w:szCs w:val="32"/>
          <w:lang w:val="zh-CN"/>
        </w:rPr>
      </w:pPr>
      <w:r>
        <w:rPr>
          <w:rFonts w:eastAsia="楷体_GB2312"/>
          <w:bCs/>
          <w:kern w:val="0"/>
          <w:sz w:val="32"/>
          <w:szCs w:val="32"/>
          <w:lang w:val="zh-CN"/>
        </w:rPr>
        <w:t>（五）限时办结制度</w:t>
      </w:r>
      <w:r>
        <w:rPr>
          <w:rFonts w:hint="eastAsia" w:eastAsia="楷体_GB2312"/>
          <w:bCs/>
          <w:kern w:val="0"/>
          <w:sz w:val="32"/>
          <w:szCs w:val="32"/>
          <w:lang w:val="zh-CN"/>
        </w:rPr>
        <w:t>。</w:t>
      </w:r>
      <w:r>
        <w:rPr>
          <w:rFonts w:eastAsia="仿宋_GB2312"/>
          <w:spacing w:val="-2"/>
          <w:kern w:val="0"/>
          <w:sz w:val="32"/>
          <w:szCs w:val="32"/>
          <w:lang w:val="zh-CN"/>
        </w:rPr>
        <w:t>分类压缩办理时限，各办理环节严格按照规定的时间、程序和要求准时、规范、高效办理不动产登记。对群众和企业到不动产登记机构办理事项能当场办结的，应立即办结；不能当场办结的，应告知承诺时限，并在承诺时限内办结。各环节办理时限实行系统自动监控制度，可分为正常办理（绿灯）、所剩时间不多加急办理（黄灯）、超期警告办理（红灯），监管机构对办理情况进行监控并采取相应处置措施。</w:t>
      </w:r>
    </w:p>
    <w:p>
      <w:pPr>
        <w:widowControl/>
        <w:tabs>
          <w:tab w:val="right" w:leader="dot" w:pos="8306"/>
        </w:tabs>
        <w:ind w:firstLine="640" w:firstLineChars="200"/>
        <w:rPr>
          <w:rFonts w:eastAsia="仿宋_GB2312"/>
          <w:kern w:val="0"/>
          <w:sz w:val="32"/>
          <w:szCs w:val="32"/>
          <w:lang w:val="zh-CN"/>
        </w:rPr>
      </w:pPr>
      <w:r>
        <w:rPr>
          <w:rFonts w:eastAsia="楷体_GB2312"/>
          <w:bCs/>
          <w:kern w:val="0"/>
          <w:sz w:val="32"/>
          <w:szCs w:val="32"/>
          <w:lang w:val="zh-CN"/>
        </w:rPr>
        <w:t>（六）一次性告知制度</w:t>
      </w:r>
      <w:r>
        <w:rPr>
          <w:rFonts w:hint="eastAsia" w:eastAsia="楷体_GB2312"/>
          <w:bCs/>
          <w:kern w:val="0"/>
          <w:sz w:val="32"/>
          <w:szCs w:val="32"/>
          <w:lang w:val="zh-CN"/>
        </w:rPr>
        <w:t>。</w:t>
      </w:r>
      <w:r>
        <w:rPr>
          <w:rFonts w:eastAsia="仿宋_GB2312"/>
          <w:kern w:val="0"/>
          <w:sz w:val="32"/>
          <w:szCs w:val="32"/>
          <w:lang w:val="zh-CN"/>
        </w:rPr>
        <w:t>申请人到不动产登记办事大厅办理、咨询不动产登记职责范围内的相关事宜，承办人员必须根据其所要办理登记事项的依据、时限、程序、所需的全部材料等要求，一次性告知申请材料是否齐全、是否符合法定形式、是否决定受理、受理后办理时限及进度查询办法、税费缴纳及证书证明领取办法、不予受理的依据和原因、需补充资料的如何补正、需完善法定前置程序事项及办理机构等内容。</w:t>
      </w:r>
    </w:p>
    <w:p>
      <w:pPr>
        <w:widowControl/>
        <w:tabs>
          <w:tab w:val="right" w:leader="dot" w:pos="8306"/>
        </w:tabs>
        <w:ind w:firstLine="640" w:firstLineChars="200"/>
        <w:rPr>
          <w:rFonts w:eastAsia="仿宋_GB2312"/>
          <w:kern w:val="0"/>
          <w:sz w:val="32"/>
          <w:szCs w:val="32"/>
          <w:lang w:val="zh-CN"/>
        </w:rPr>
      </w:pPr>
      <w:r>
        <w:rPr>
          <w:rFonts w:eastAsia="楷体_GB2312"/>
          <w:bCs/>
          <w:kern w:val="0"/>
          <w:sz w:val="32"/>
          <w:szCs w:val="32"/>
          <w:lang w:val="zh-CN"/>
        </w:rPr>
        <w:t>（七）投诉处理制度</w:t>
      </w:r>
      <w:r>
        <w:rPr>
          <w:rFonts w:hint="eastAsia" w:eastAsia="楷体_GB2312"/>
          <w:bCs/>
          <w:kern w:val="0"/>
          <w:sz w:val="32"/>
          <w:szCs w:val="32"/>
          <w:lang w:val="zh-CN"/>
        </w:rPr>
        <w:t>。</w:t>
      </w:r>
      <w:r>
        <w:rPr>
          <w:rFonts w:eastAsia="仿宋_GB2312"/>
          <w:kern w:val="0"/>
          <w:sz w:val="32"/>
          <w:szCs w:val="32"/>
          <w:lang w:val="zh-CN"/>
        </w:rPr>
        <w:t>建立效率效能及服务质量投诉处理制度，提供网上、现场和12336电话投诉服务，按照投诉、建议、咨询分类处理投诉事项，反馈或公布处理结果，实施相关纠正措施。</w:t>
      </w:r>
    </w:p>
    <w:p>
      <w:pPr>
        <w:widowControl/>
        <w:tabs>
          <w:tab w:val="right" w:leader="dot" w:pos="8306"/>
        </w:tabs>
        <w:ind w:firstLine="628" w:firstLineChars="200"/>
        <w:rPr>
          <w:spacing w:val="-3"/>
          <w:kern w:val="0"/>
          <w:sz w:val="32"/>
          <w:szCs w:val="32"/>
          <w:lang w:val="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3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WPSOffice手动目录 1"/>
    <w:uiPriority w:val="0"/>
    <w:rPr>
      <w:rFonts w:ascii="Calibri" w:hAnsi="Calibri" w:eastAsia="宋体" w:cs="Calibri"/>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2019-09-27T07:38:57Z</dcterms:created>
  <dc:creator>Administrator</dc:creator>
  <cp:lastModifiedBy>易礼</cp:lastModifiedBy>
  <dcterms:modified xsi:type="dcterms:W3CDTF">2019-09-27T07:39:09Z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