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156" w:beforeLines="50" w:after="156" w:afterLines="50" w:line="600" w:lineRule="exact"/>
        <w:ind w:firstLine="720" w:firstLineChars="200"/>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湖南省测绘地理信息行业信用评价指标体系</w:t>
      </w:r>
    </w:p>
    <w:tbl>
      <w:tblPr>
        <w:tblStyle w:val="3"/>
        <w:tblW w:w="14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854"/>
        <w:gridCol w:w="896"/>
        <w:gridCol w:w="6643"/>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r>
              <w:rPr>
                <w:rFonts w:eastAsia="仿宋_GB2312"/>
                <w:b/>
                <w:sz w:val="24"/>
              </w:rPr>
              <w:t>信息</w:t>
            </w:r>
          </w:p>
          <w:p>
            <w:pPr>
              <w:jc w:val="center"/>
              <w:rPr>
                <w:rFonts w:eastAsia="仿宋_GB2312"/>
                <w:b/>
                <w:sz w:val="24"/>
              </w:rPr>
            </w:pPr>
            <w:r>
              <w:rPr>
                <w:rFonts w:eastAsia="仿宋_GB2312"/>
                <w:b/>
                <w:sz w:val="24"/>
              </w:rPr>
              <w:t>类型</w:t>
            </w:r>
          </w:p>
        </w:tc>
        <w:tc>
          <w:tcPr>
            <w:tcW w:w="854" w:type="dxa"/>
            <w:tcBorders>
              <w:top w:val="single" w:color="auto" w:sz="4" w:space="0"/>
              <w:left w:val="nil"/>
              <w:bottom w:val="single" w:color="auto" w:sz="4" w:space="0"/>
              <w:right w:val="single" w:color="auto" w:sz="4" w:space="0"/>
            </w:tcBorders>
            <w:noWrap w:val="0"/>
            <w:vAlign w:val="center"/>
          </w:tcPr>
          <w:p>
            <w:pPr>
              <w:jc w:val="center"/>
              <w:rPr>
                <w:rFonts w:eastAsia="仿宋_GB2312"/>
                <w:b/>
                <w:sz w:val="24"/>
              </w:rPr>
            </w:pPr>
            <w:r>
              <w:rPr>
                <w:rFonts w:eastAsia="仿宋_GB2312"/>
                <w:b/>
                <w:sz w:val="24"/>
              </w:rPr>
              <w:t>评价项目</w:t>
            </w:r>
          </w:p>
        </w:tc>
        <w:tc>
          <w:tcPr>
            <w:tcW w:w="896" w:type="dxa"/>
            <w:tcBorders>
              <w:top w:val="single" w:color="auto" w:sz="4" w:space="0"/>
              <w:left w:val="nil"/>
              <w:bottom w:val="single" w:color="auto" w:sz="4" w:space="0"/>
              <w:right w:val="single" w:color="auto" w:sz="4" w:space="0"/>
            </w:tcBorders>
            <w:noWrap w:val="0"/>
            <w:vAlign w:val="center"/>
          </w:tcPr>
          <w:p>
            <w:pPr>
              <w:jc w:val="center"/>
              <w:rPr>
                <w:rFonts w:eastAsia="仿宋_GB2312"/>
                <w:b/>
                <w:sz w:val="24"/>
              </w:rPr>
            </w:pPr>
            <w:r>
              <w:rPr>
                <w:rFonts w:eastAsia="仿宋_GB2312"/>
                <w:b/>
                <w:sz w:val="24"/>
              </w:rPr>
              <w:t>代码</w:t>
            </w:r>
          </w:p>
        </w:tc>
        <w:tc>
          <w:tcPr>
            <w:tcW w:w="6643" w:type="dxa"/>
            <w:tcBorders>
              <w:top w:val="single" w:color="auto" w:sz="4" w:space="0"/>
              <w:left w:val="nil"/>
              <w:bottom w:val="single" w:color="auto" w:sz="4" w:space="0"/>
              <w:right w:val="single" w:color="auto" w:sz="4" w:space="0"/>
            </w:tcBorders>
            <w:noWrap w:val="0"/>
            <w:vAlign w:val="center"/>
          </w:tcPr>
          <w:p>
            <w:pPr>
              <w:jc w:val="center"/>
              <w:rPr>
                <w:rFonts w:eastAsia="仿宋_GB2312"/>
                <w:b/>
                <w:sz w:val="24"/>
              </w:rPr>
            </w:pPr>
            <w:r>
              <w:rPr>
                <w:rFonts w:eastAsia="仿宋_GB2312"/>
                <w:b/>
                <w:sz w:val="24"/>
              </w:rPr>
              <w:t>指标内容</w:t>
            </w:r>
          </w:p>
        </w:tc>
        <w:tc>
          <w:tcPr>
            <w:tcW w:w="5060" w:type="dxa"/>
            <w:tcBorders>
              <w:top w:val="single" w:color="auto" w:sz="4" w:space="0"/>
              <w:left w:val="nil"/>
              <w:bottom w:val="single" w:color="auto" w:sz="4" w:space="0"/>
              <w:right w:val="single" w:color="auto" w:sz="4" w:space="0"/>
            </w:tcBorders>
            <w:noWrap w:val="0"/>
            <w:vAlign w:val="center"/>
          </w:tcPr>
          <w:p>
            <w:pPr>
              <w:jc w:val="center"/>
              <w:rPr>
                <w:rFonts w:eastAsia="仿宋_GB2312"/>
                <w:b/>
                <w:sz w:val="24"/>
              </w:rPr>
            </w:pPr>
            <w:r>
              <w:rPr>
                <w:rFonts w:eastAsia="仿宋_GB2312"/>
                <w:b/>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tcBorders>
              <w:top w:val="nil"/>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基</w:t>
            </w:r>
          </w:p>
          <w:p>
            <w:pPr>
              <w:jc w:val="center"/>
              <w:rPr>
                <w:rFonts w:eastAsia="仿宋_GB2312"/>
                <w:sz w:val="24"/>
              </w:rPr>
            </w:pPr>
            <w:r>
              <w:rPr>
                <w:rFonts w:eastAsia="仿宋_GB2312"/>
                <w:sz w:val="24"/>
              </w:rPr>
              <w:t>本</w:t>
            </w:r>
          </w:p>
          <w:p>
            <w:pPr>
              <w:jc w:val="center"/>
              <w:rPr>
                <w:rFonts w:eastAsia="仿宋_GB2312"/>
                <w:sz w:val="24"/>
              </w:rPr>
            </w:pPr>
            <w:r>
              <w:rPr>
                <w:rFonts w:eastAsia="仿宋_GB2312"/>
                <w:sz w:val="24"/>
              </w:rPr>
              <w:t>信</w:t>
            </w:r>
          </w:p>
          <w:p>
            <w:pPr>
              <w:jc w:val="center"/>
              <w:rPr>
                <w:rFonts w:eastAsia="仿宋_GB2312"/>
                <w:sz w:val="24"/>
              </w:rPr>
            </w:pPr>
            <w:r>
              <w:rPr>
                <w:rFonts w:eastAsia="仿宋_GB2312"/>
                <w:sz w:val="24"/>
              </w:rPr>
              <w:t>息</w:t>
            </w:r>
          </w:p>
        </w:tc>
        <w:tc>
          <w:tcPr>
            <w:tcW w:w="854" w:type="dxa"/>
            <w:tcBorders>
              <w:top w:val="single" w:color="auto" w:sz="4" w:space="0"/>
              <w:left w:val="nil"/>
              <w:bottom w:val="single" w:color="auto" w:sz="4" w:space="0"/>
              <w:right w:val="single" w:color="auto" w:sz="4" w:space="0"/>
            </w:tcBorders>
            <w:noWrap w:val="0"/>
            <w:vAlign w:val="center"/>
          </w:tcPr>
          <w:p>
            <w:pPr>
              <w:jc w:val="center"/>
              <w:rPr>
                <w:rFonts w:eastAsia="仿宋_GB2312"/>
                <w:sz w:val="24"/>
              </w:rPr>
            </w:pPr>
            <w:r>
              <w:rPr>
                <w:rFonts w:eastAsia="仿宋_GB2312"/>
                <w:sz w:val="24"/>
              </w:rPr>
              <w:t>注册信息</w:t>
            </w:r>
          </w:p>
        </w:tc>
        <w:tc>
          <w:tcPr>
            <w:tcW w:w="896" w:type="dxa"/>
            <w:tcBorders>
              <w:top w:val="single" w:color="auto" w:sz="4" w:space="0"/>
              <w:left w:val="nil"/>
              <w:bottom w:val="single" w:color="auto" w:sz="4" w:space="0"/>
              <w:right w:val="single" w:color="auto" w:sz="4" w:space="0"/>
            </w:tcBorders>
            <w:noWrap w:val="0"/>
            <w:vAlign w:val="center"/>
          </w:tcPr>
          <w:p>
            <w:pPr>
              <w:jc w:val="center"/>
              <w:rPr>
                <w:rFonts w:eastAsia="仿宋_GB2312"/>
                <w:sz w:val="24"/>
              </w:rPr>
            </w:pPr>
            <w:r>
              <w:rPr>
                <w:rFonts w:eastAsia="仿宋_GB2312"/>
                <w:sz w:val="24"/>
              </w:rPr>
              <w:t>1-101</w:t>
            </w:r>
          </w:p>
        </w:tc>
        <w:tc>
          <w:tcPr>
            <w:tcW w:w="6643" w:type="dxa"/>
            <w:tcBorders>
              <w:top w:val="single" w:color="auto" w:sz="4" w:space="0"/>
              <w:left w:val="nil"/>
              <w:bottom w:val="single" w:color="auto" w:sz="4" w:space="0"/>
              <w:right w:val="single" w:color="auto" w:sz="4" w:space="0"/>
            </w:tcBorders>
            <w:noWrap w:val="0"/>
            <w:vAlign w:val="center"/>
          </w:tcPr>
          <w:p>
            <w:pPr>
              <w:rPr>
                <w:rFonts w:eastAsia="仿宋_GB2312"/>
                <w:sz w:val="24"/>
              </w:rPr>
            </w:pPr>
            <w:r>
              <w:rPr>
                <w:rFonts w:eastAsia="仿宋_GB2312"/>
                <w:sz w:val="24"/>
              </w:rPr>
              <w:t>测绘单位名称、注册地、联系方式、法定代表人、统一社会信用代码</w:t>
            </w:r>
          </w:p>
        </w:tc>
        <w:tc>
          <w:tcPr>
            <w:tcW w:w="5060" w:type="dxa"/>
            <w:vMerge w:val="restart"/>
            <w:tcBorders>
              <w:top w:val="nil"/>
              <w:left w:val="nil"/>
              <w:bottom w:val="single" w:color="auto" w:sz="4" w:space="0"/>
              <w:right w:val="single" w:color="auto" w:sz="4" w:space="0"/>
            </w:tcBorders>
            <w:noWrap w:val="0"/>
            <w:vAlign w:val="center"/>
          </w:tcPr>
          <w:p>
            <w:pPr>
              <w:rPr>
                <w:rFonts w:eastAsia="仿宋_GB2312"/>
                <w:sz w:val="24"/>
              </w:rPr>
            </w:pPr>
            <w:r>
              <w:rPr>
                <w:rFonts w:eastAsia="仿宋_GB2312"/>
                <w:sz w:val="24"/>
              </w:rPr>
              <w:t>基本信息不计分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854" w:type="dxa"/>
            <w:tcBorders>
              <w:top w:val="single" w:color="auto" w:sz="4" w:space="0"/>
              <w:left w:val="nil"/>
              <w:bottom w:val="single" w:color="auto" w:sz="4" w:space="0"/>
              <w:right w:val="single" w:color="auto" w:sz="4" w:space="0"/>
            </w:tcBorders>
            <w:noWrap w:val="0"/>
            <w:vAlign w:val="center"/>
          </w:tcPr>
          <w:p>
            <w:pPr>
              <w:jc w:val="center"/>
              <w:rPr>
                <w:rFonts w:eastAsia="仿宋_GB2312"/>
                <w:sz w:val="24"/>
              </w:rPr>
            </w:pPr>
            <w:r>
              <w:rPr>
                <w:rFonts w:eastAsia="仿宋_GB2312"/>
                <w:sz w:val="24"/>
              </w:rPr>
              <w:t>资质信息</w:t>
            </w:r>
          </w:p>
        </w:tc>
        <w:tc>
          <w:tcPr>
            <w:tcW w:w="896" w:type="dxa"/>
            <w:tcBorders>
              <w:top w:val="single" w:color="auto" w:sz="4" w:space="0"/>
              <w:left w:val="nil"/>
              <w:bottom w:val="single" w:color="auto" w:sz="4" w:space="0"/>
              <w:right w:val="single" w:color="auto" w:sz="4" w:space="0"/>
            </w:tcBorders>
            <w:noWrap w:val="0"/>
            <w:vAlign w:val="center"/>
          </w:tcPr>
          <w:p>
            <w:pPr>
              <w:jc w:val="center"/>
              <w:rPr>
                <w:rFonts w:eastAsia="仿宋_GB2312"/>
                <w:sz w:val="24"/>
              </w:rPr>
            </w:pPr>
            <w:r>
              <w:rPr>
                <w:rFonts w:eastAsia="仿宋_GB2312"/>
                <w:sz w:val="24"/>
              </w:rPr>
              <w:t>1-102</w:t>
            </w:r>
          </w:p>
        </w:tc>
        <w:tc>
          <w:tcPr>
            <w:tcW w:w="6643" w:type="dxa"/>
            <w:tcBorders>
              <w:top w:val="single" w:color="auto" w:sz="4" w:space="0"/>
              <w:left w:val="nil"/>
              <w:bottom w:val="single" w:color="auto" w:sz="4" w:space="0"/>
              <w:right w:val="single" w:color="auto" w:sz="4" w:space="0"/>
            </w:tcBorders>
            <w:noWrap w:val="0"/>
            <w:vAlign w:val="center"/>
          </w:tcPr>
          <w:p>
            <w:pPr>
              <w:rPr>
                <w:rFonts w:eastAsia="仿宋_GB2312"/>
                <w:sz w:val="24"/>
              </w:rPr>
            </w:pPr>
            <w:r>
              <w:rPr>
                <w:rFonts w:eastAsia="仿宋_GB2312"/>
                <w:sz w:val="24"/>
              </w:rPr>
              <w:t>资质等级和业务范围</w:t>
            </w:r>
          </w:p>
        </w:tc>
        <w:tc>
          <w:tcPr>
            <w:tcW w:w="5060" w:type="dxa"/>
            <w:vMerge w:val="continue"/>
            <w:tcBorders>
              <w:top w:val="nil"/>
              <w:left w:val="nil"/>
              <w:bottom w:val="single" w:color="auto" w:sz="4" w:space="0"/>
              <w:right w:val="single" w:color="auto" w:sz="4" w:space="0"/>
            </w:tcBorders>
            <w:noWrap w:val="0"/>
            <w:vAlign w:val="center"/>
          </w:tcPr>
          <w:p>
            <w:pPr>
              <w:widowControl/>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良好信息</w:t>
            </w:r>
          </w:p>
        </w:tc>
        <w:tc>
          <w:tcPr>
            <w:tcW w:w="854" w:type="dxa"/>
            <w:vMerge w:val="restart"/>
            <w:tcBorders>
              <w:top w:val="nil"/>
              <w:left w:val="nil"/>
              <w:bottom w:val="single" w:color="auto" w:sz="4" w:space="0"/>
              <w:right w:val="single" w:color="auto" w:sz="4" w:space="0"/>
            </w:tcBorders>
            <w:noWrap w:val="0"/>
            <w:vAlign w:val="center"/>
          </w:tcPr>
          <w:p>
            <w:pPr>
              <w:jc w:val="center"/>
              <w:rPr>
                <w:rFonts w:eastAsia="仿宋_GB2312"/>
                <w:sz w:val="24"/>
              </w:rPr>
            </w:pPr>
            <w:r>
              <w:rPr>
                <w:rFonts w:eastAsia="仿宋_GB2312"/>
                <w:sz w:val="24"/>
              </w:rPr>
              <w:t>测绘地理信息市场行为良好信息</w:t>
            </w: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2-101</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为政府、公众提供防灾减灾，测绘地理信息援疆援藏，提供应急保障等测绘地理信息服务</w:t>
            </w:r>
          </w:p>
        </w:tc>
        <w:tc>
          <w:tcPr>
            <w:tcW w:w="5060" w:type="dxa"/>
            <w:tcBorders>
              <w:top w:val="single" w:color="auto" w:sz="4" w:space="0"/>
              <w:left w:val="nil"/>
              <w:bottom w:val="single" w:color="auto" w:sz="4" w:space="0"/>
              <w:right w:val="single" w:color="auto" w:sz="4" w:space="0"/>
            </w:tcBorders>
            <w:noWrap w:val="0"/>
            <w:vAlign w:val="center"/>
          </w:tcPr>
          <w:p>
            <w:pPr>
              <w:jc w:val="left"/>
              <w:rPr>
                <w:rFonts w:eastAsia="仿宋_GB2312"/>
                <w:sz w:val="24"/>
              </w:rPr>
            </w:pPr>
            <w:r>
              <w:rPr>
                <w:rFonts w:eastAsia="仿宋_GB2312"/>
                <w:sz w:val="24"/>
              </w:rPr>
              <w:t>加2分/次（最高不超过6分）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2-102</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取得测绘地理信息领域相关产品专利权、著作权</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发明专利加3分／项，实用新型专利加1分／项，著作权加1分／项（最高不超过6分）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2-103</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参与制定测绘地理信息地方标准、行业标准或者国家标准</w:t>
            </w:r>
          </w:p>
        </w:tc>
        <w:tc>
          <w:tcPr>
            <w:tcW w:w="5060" w:type="dxa"/>
            <w:tcBorders>
              <w:top w:val="single" w:color="auto" w:sz="4" w:space="0"/>
              <w:left w:val="nil"/>
              <w:bottom w:val="single" w:color="auto" w:sz="4" w:space="0"/>
              <w:right w:val="single" w:color="auto" w:sz="4" w:space="0"/>
            </w:tcBorders>
            <w:noWrap w:val="0"/>
            <w:vAlign w:val="center"/>
          </w:tcPr>
          <w:p>
            <w:pPr>
              <w:jc w:val="left"/>
              <w:rPr>
                <w:rFonts w:eastAsia="仿宋_GB2312"/>
                <w:sz w:val="24"/>
              </w:rPr>
            </w:pPr>
            <w:r>
              <w:rPr>
                <w:rFonts w:eastAsia="仿宋_GB2312"/>
                <w:sz w:val="24"/>
              </w:rPr>
              <w:t>地方标准加3分／次，行业标准加5分／次，国家标准加10分／次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2-104</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“双随机、一公开”测绘成果质量</w:t>
            </w:r>
            <w:r>
              <w:rPr>
                <w:rFonts w:hint="eastAsia" w:eastAsia="仿宋_GB2312"/>
                <w:sz w:val="24"/>
              </w:rPr>
              <w:t>监督</w:t>
            </w:r>
            <w:r>
              <w:rPr>
                <w:rFonts w:eastAsia="仿宋_GB2312"/>
                <w:sz w:val="24"/>
              </w:rPr>
              <w:t>抽检结果合格且样本质量达到优级</w:t>
            </w:r>
          </w:p>
        </w:tc>
        <w:tc>
          <w:tcPr>
            <w:tcW w:w="5060" w:type="dxa"/>
            <w:tcBorders>
              <w:top w:val="single" w:color="auto" w:sz="4" w:space="0"/>
              <w:left w:val="nil"/>
              <w:bottom w:val="single" w:color="auto" w:sz="4" w:space="0"/>
              <w:right w:val="single" w:color="auto" w:sz="4" w:space="0"/>
            </w:tcBorders>
            <w:noWrap w:val="0"/>
            <w:vAlign w:val="center"/>
          </w:tcPr>
          <w:p>
            <w:pPr>
              <w:jc w:val="left"/>
              <w:rPr>
                <w:rFonts w:eastAsia="仿宋_GB2312"/>
                <w:sz w:val="24"/>
              </w:rPr>
            </w:pPr>
            <w:r>
              <w:rPr>
                <w:rFonts w:eastAsia="仿宋_GB2312"/>
                <w:sz w:val="24"/>
              </w:rPr>
              <w:t>国家级检查加10分，省级检查加5分，市级检查加3分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854" w:type="dxa"/>
            <w:vMerge w:val="restart"/>
            <w:tcBorders>
              <w:top w:val="nil"/>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获奖信息</w:t>
            </w: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2-201</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因测绘地理信息相关工作受到县级以上人民政府及其相关行政管理部门表彰奖励</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县级加1分／项，市级加2分／项，省级加4分／项，国家级加6分／项（最高不超过6分，</w:t>
            </w:r>
            <w:r>
              <w:rPr>
                <w:rFonts w:eastAsia="仿宋_GB2312"/>
                <w:bCs/>
                <w:sz w:val="24"/>
              </w:rPr>
              <w:t>同一项目获得多部门表彰奖励的，取最高等级的得分）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2-202</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获得主管部门、测绘地理信息领域权威学会、权威协会评定的测绘地理信息领域科技进步奖、优秀工程奖</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省级加1-3分／项，国家级加4-6分／项（最高不超过6分</w:t>
            </w:r>
            <w:r>
              <w:rPr>
                <w:rFonts w:eastAsia="仿宋_GB2312"/>
                <w:bCs/>
                <w:sz w:val="24"/>
              </w:rPr>
              <w:t>，同一项目申报多个奖项的，取最高等级的得分）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r>
              <w:rPr>
                <w:rFonts w:eastAsia="仿宋_GB2312"/>
                <w:sz w:val="24"/>
              </w:rPr>
              <w:t>良好</w:t>
            </w:r>
          </w:p>
          <w:p>
            <w:pPr>
              <w:widowControl/>
              <w:jc w:val="left"/>
              <w:rPr>
                <w:rFonts w:eastAsia="仿宋_GB2312"/>
                <w:sz w:val="24"/>
              </w:rPr>
            </w:pPr>
            <w:r>
              <w:rPr>
                <w:rFonts w:eastAsia="仿宋_GB2312"/>
                <w:sz w:val="24"/>
              </w:rPr>
              <w:t>信息</w:t>
            </w:r>
          </w:p>
        </w:tc>
        <w:tc>
          <w:tcPr>
            <w:tcW w:w="0" w:type="auto"/>
            <w:vMerge w:val="restart"/>
            <w:tcBorders>
              <w:top w:val="nil"/>
              <w:left w:val="nil"/>
              <w:bottom w:val="single" w:color="auto" w:sz="4" w:space="0"/>
              <w:right w:val="single" w:color="auto" w:sz="4" w:space="0"/>
            </w:tcBorders>
            <w:noWrap w:val="0"/>
            <w:vAlign w:val="center"/>
          </w:tcPr>
          <w:p>
            <w:pPr>
              <w:widowControl/>
              <w:jc w:val="left"/>
              <w:rPr>
                <w:rFonts w:eastAsia="仿宋_GB2312"/>
                <w:sz w:val="24"/>
              </w:rPr>
            </w:pPr>
            <w:r>
              <w:rPr>
                <w:rFonts w:eastAsia="仿宋_GB2312"/>
                <w:sz w:val="24"/>
              </w:rPr>
              <w:t>获奖</w:t>
            </w:r>
          </w:p>
          <w:p>
            <w:pPr>
              <w:widowControl/>
              <w:jc w:val="left"/>
              <w:rPr>
                <w:rFonts w:eastAsia="仿宋_GB2312"/>
                <w:sz w:val="24"/>
              </w:rPr>
            </w:pPr>
            <w:r>
              <w:rPr>
                <w:rFonts w:eastAsia="仿宋_GB2312"/>
                <w:sz w:val="24"/>
              </w:rPr>
              <w:t>信息</w:t>
            </w: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2-203</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测绘资质单位职工获得测绘地理信息技术能手称号或者测绘资质单位在测绘行业职业技能竞赛中获得团体奖</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市级加1.5分／项，省级加3分／项，国家级加5分／项（最高不超过6分）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sz w:val="24"/>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2-204</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测绘资质单位职工获得市、省、国家级高层次、高精尖人才奖</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市级加1.5分／项，省级加3分／项，国家级加5分／项（最高不超过6分）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4" w:type="dxa"/>
            <w:vMerge w:val="restart"/>
            <w:tcBorders>
              <w:top w:val="nil"/>
              <w:left w:val="single" w:color="000000" w:sz="4" w:space="0"/>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不良</w:t>
            </w:r>
          </w:p>
          <w:p>
            <w:pPr>
              <w:spacing w:line="273" w:lineRule="auto"/>
              <w:jc w:val="center"/>
              <w:rPr>
                <w:rFonts w:eastAsia="仿宋_GB2312"/>
                <w:sz w:val="24"/>
              </w:rPr>
            </w:pPr>
            <w:r>
              <w:rPr>
                <w:rFonts w:eastAsia="仿宋_GB2312"/>
                <w:sz w:val="24"/>
              </w:rPr>
              <w:t>信息</w:t>
            </w:r>
          </w:p>
        </w:tc>
        <w:tc>
          <w:tcPr>
            <w:tcW w:w="854" w:type="dxa"/>
            <w:vMerge w:val="restart"/>
            <w:tcBorders>
              <w:top w:val="nil"/>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轻微失信信息</w:t>
            </w: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3-101</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未按照相关规定要求备案的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扣0.5分／项（最高不超过5分）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3-102</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因与测绘地理信息有关的不良行为被举报查实的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扣1分／次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3-103</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因弄虚作假被省级自然资源主管部门通报批评的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扣2分／次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nil"/>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3-104</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因与测绘地理信息有关的不良行为被提起民事诉讼，法院终审判决测绘资质单位承担责任或者履行义务的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854" w:type="dxa"/>
            <w:vMerge w:val="restart"/>
            <w:tcBorders>
              <w:top w:val="single" w:color="auto"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一般失信信息</w:t>
            </w: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3-201</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存在不符合其测绘资质等级或专业类型条件，未建立安全生产管理制度或运行、落实不到位，逾期未改正的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扣4分／项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3-202</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未按规定汇交测绘成果资料，被依法责令限期汇交的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扣4分／项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3-203</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因弄虚作假被自然资源部通报批评的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color w:val="000000"/>
                <w:sz w:val="24"/>
              </w:rPr>
              <w:t>扣6分</w:t>
            </w:r>
            <w:r>
              <w:rPr>
                <w:rFonts w:eastAsia="仿宋_GB2312"/>
                <w:sz w:val="24"/>
              </w:rPr>
              <w:t>／</w:t>
            </w:r>
            <w:r>
              <w:rPr>
                <w:rFonts w:eastAsia="仿宋_GB2312"/>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3-204</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不配合自然资源主管部门依法实施监督检查，隐瞒、拒绝和阻碍提供或提供虚假有关文件、资料的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sz w:val="24"/>
              </w:rPr>
              <w:t>扣8分／次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000000" w:sz="4" w:space="0"/>
              <w:right w:val="single" w:color="000000" w:sz="4" w:space="0"/>
            </w:tcBorders>
            <w:noWrap w:val="0"/>
            <w:vAlign w:val="center"/>
          </w:tcPr>
          <w:p>
            <w:pPr>
              <w:widowControl/>
              <w:jc w:val="left"/>
              <w:rPr>
                <w:rFonts w:eastAsia="仿宋_GB2312"/>
                <w:sz w:val="24"/>
              </w:rPr>
            </w:pPr>
          </w:p>
        </w:tc>
        <w:tc>
          <w:tcPr>
            <w:tcW w:w="896" w:type="dxa"/>
            <w:tcBorders>
              <w:top w:val="single" w:color="000000" w:sz="4" w:space="0"/>
              <w:left w:val="nil"/>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3-205</w:t>
            </w:r>
          </w:p>
        </w:tc>
        <w:tc>
          <w:tcPr>
            <w:tcW w:w="6643" w:type="dxa"/>
            <w:tcBorders>
              <w:top w:val="single" w:color="000000" w:sz="4" w:space="0"/>
              <w:left w:val="nil"/>
              <w:bottom w:val="single" w:color="000000" w:sz="4" w:space="0"/>
              <w:right w:val="single" w:color="000000" w:sz="4" w:space="0"/>
            </w:tcBorders>
            <w:noWrap w:val="0"/>
            <w:vAlign w:val="center"/>
          </w:tcPr>
          <w:p>
            <w:pPr>
              <w:spacing w:line="273" w:lineRule="auto"/>
              <w:rPr>
                <w:rFonts w:eastAsia="仿宋_GB2312"/>
                <w:sz w:val="24"/>
              </w:rPr>
            </w:pPr>
            <w:r>
              <w:rPr>
                <w:rFonts w:eastAsia="仿宋_GB2312"/>
                <w:sz w:val="24"/>
              </w:rPr>
              <w:t>因有测绘地理信息有关的不良行为，被责令整改而拒不整改的</w:t>
            </w:r>
          </w:p>
        </w:tc>
        <w:tc>
          <w:tcPr>
            <w:tcW w:w="5060" w:type="dxa"/>
            <w:tcBorders>
              <w:top w:val="single" w:color="000000" w:sz="4" w:space="0"/>
              <w:left w:val="nil"/>
              <w:bottom w:val="single" w:color="000000" w:sz="4" w:space="0"/>
              <w:right w:val="single" w:color="000000" w:sz="4" w:space="0"/>
            </w:tcBorders>
            <w:noWrap w:val="0"/>
            <w:vAlign w:val="center"/>
          </w:tcPr>
          <w:p>
            <w:pPr>
              <w:spacing w:line="273" w:lineRule="auto"/>
              <w:jc w:val="left"/>
              <w:rPr>
                <w:rFonts w:eastAsia="仿宋_GB2312"/>
                <w:sz w:val="24"/>
              </w:rPr>
            </w:pPr>
            <w:r>
              <w:rPr>
                <w:rFonts w:eastAsia="仿宋_GB2312"/>
                <w:color w:val="000000"/>
                <w:sz w:val="24"/>
              </w:rPr>
              <w:t>扣8分</w:t>
            </w:r>
            <w:r>
              <w:rPr>
                <w:rFonts w:eastAsia="仿宋_GB2312"/>
                <w:sz w:val="24"/>
              </w:rPr>
              <w:t>／</w:t>
            </w:r>
            <w:r>
              <w:rPr>
                <w:rFonts w:eastAsia="仿宋_GB2312"/>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854" w:type="dxa"/>
            <w:vMerge w:val="restart"/>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严重失信</w:t>
            </w:r>
          </w:p>
          <w:p>
            <w:pPr>
              <w:spacing w:line="273" w:lineRule="auto"/>
              <w:jc w:val="center"/>
              <w:rPr>
                <w:rFonts w:eastAsia="仿宋_GB2312"/>
                <w:sz w:val="24"/>
              </w:rPr>
            </w:pPr>
            <w:r>
              <w:rPr>
                <w:rFonts w:eastAsia="仿宋_GB2312"/>
                <w:sz w:val="24"/>
              </w:rPr>
              <w:t>信息</w:t>
            </w: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3-301</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编制、出版、展示、登载、更新的地图或互联网地图服务不符合国家有关地图管理的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3-302</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违反保密规定加工、处理和利用涉密测绘成果，存在失泄密隐患被查处的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nil"/>
              <w:left w:val="single" w:color="000000" w:sz="4" w:space="0"/>
              <w:bottom w:val="single" w:color="000000" w:sz="4" w:space="0"/>
              <w:right w:val="single" w:color="000000" w:sz="4" w:space="0"/>
            </w:tcBorders>
            <w:noWrap w:val="0"/>
            <w:vAlign w:val="center"/>
          </w:tcPr>
          <w:p>
            <w:pPr>
              <w:spacing w:line="273" w:lineRule="auto"/>
              <w:jc w:val="center"/>
              <w:rPr>
                <w:rFonts w:eastAsia="仿宋_GB2312"/>
                <w:sz w:val="24"/>
              </w:rPr>
            </w:pPr>
            <w:r>
              <w:rPr>
                <w:rFonts w:eastAsia="仿宋_GB2312"/>
                <w:sz w:val="24"/>
              </w:rPr>
              <w:t>不良</w:t>
            </w:r>
          </w:p>
          <w:p>
            <w:pPr>
              <w:widowControl/>
              <w:jc w:val="left"/>
              <w:rPr>
                <w:rFonts w:eastAsia="仿宋_GB2312"/>
                <w:sz w:val="24"/>
              </w:rPr>
            </w:pPr>
            <w:r>
              <w:rPr>
                <w:rFonts w:eastAsia="仿宋_GB2312"/>
                <w:sz w:val="24"/>
              </w:rPr>
              <w:t>信息</w:t>
            </w:r>
          </w:p>
        </w:tc>
        <w:tc>
          <w:tcPr>
            <w:tcW w:w="0" w:type="auto"/>
            <w:vMerge w:val="restart"/>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严重</w:t>
            </w:r>
          </w:p>
          <w:p>
            <w:pPr>
              <w:spacing w:line="273" w:lineRule="auto"/>
              <w:jc w:val="center"/>
              <w:rPr>
                <w:rFonts w:eastAsia="仿宋_GB2312"/>
                <w:sz w:val="24"/>
              </w:rPr>
            </w:pPr>
            <w:r>
              <w:rPr>
                <w:rFonts w:eastAsia="仿宋_GB2312"/>
                <w:sz w:val="24"/>
              </w:rPr>
              <w:t>失信</w:t>
            </w:r>
          </w:p>
          <w:p>
            <w:pPr>
              <w:widowControl/>
              <w:jc w:val="left"/>
              <w:rPr>
                <w:rFonts w:eastAsia="仿宋_GB2312"/>
                <w:sz w:val="24"/>
              </w:rPr>
            </w:pPr>
            <w:r>
              <w:rPr>
                <w:rFonts w:eastAsia="仿宋_GB2312"/>
                <w:sz w:val="24"/>
              </w:rPr>
              <w:t>信息</w:t>
            </w: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3-303</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将中标的测绘项目转让或违规分包的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3-304</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未经批准擅自建立相对独立的平面坐标系统，或者采用不符合国家标准的基础地理信息数据建立地理信息系统的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扣10分／次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3-305</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未经备案擅自建设卫星导航定位基准站或运行维护卫星导航定位基准站不符合国家标准、要求的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扣15分／项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3-306</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“双随机、一公开”测绘成果质量</w:t>
            </w:r>
            <w:r>
              <w:rPr>
                <w:rFonts w:hint="eastAsia" w:eastAsia="仿宋_GB2312"/>
                <w:sz w:val="24"/>
              </w:rPr>
              <w:t>监督</w:t>
            </w:r>
            <w:r>
              <w:rPr>
                <w:rFonts w:eastAsia="仿宋_GB2312"/>
                <w:sz w:val="24"/>
              </w:rPr>
              <w:t>抽检结果不合格或经测绘地理信息质检机构判定为批不合格的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扣20分／次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sz w:val="24"/>
              </w:rPr>
            </w:pPr>
          </w:p>
        </w:tc>
        <w:tc>
          <w:tcPr>
            <w:tcW w:w="896" w:type="dxa"/>
            <w:tcBorders>
              <w:top w:val="single" w:color="auto" w:sz="4" w:space="0"/>
              <w:left w:val="nil"/>
              <w:bottom w:val="single" w:color="auto" w:sz="4" w:space="0"/>
              <w:right w:val="single" w:color="auto" w:sz="4" w:space="0"/>
            </w:tcBorders>
            <w:noWrap w:val="0"/>
            <w:vAlign w:val="center"/>
          </w:tcPr>
          <w:p>
            <w:pPr>
              <w:spacing w:line="273" w:lineRule="auto"/>
              <w:jc w:val="center"/>
              <w:rPr>
                <w:rFonts w:eastAsia="仿宋_GB2312"/>
                <w:sz w:val="24"/>
              </w:rPr>
            </w:pPr>
            <w:r>
              <w:rPr>
                <w:rFonts w:eastAsia="仿宋_GB2312"/>
                <w:sz w:val="24"/>
              </w:rPr>
              <w:t>3-307</w:t>
            </w:r>
          </w:p>
        </w:tc>
        <w:tc>
          <w:tcPr>
            <w:tcW w:w="6643" w:type="dxa"/>
            <w:tcBorders>
              <w:top w:val="single" w:color="auto" w:sz="4" w:space="0"/>
              <w:left w:val="nil"/>
              <w:bottom w:val="single" w:color="auto" w:sz="4" w:space="0"/>
              <w:right w:val="single" w:color="auto" w:sz="4" w:space="0"/>
            </w:tcBorders>
            <w:noWrap w:val="0"/>
            <w:vAlign w:val="center"/>
          </w:tcPr>
          <w:p>
            <w:pPr>
              <w:spacing w:line="273" w:lineRule="auto"/>
              <w:rPr>
                <w:rFonts w:eastAsia="仿宋_GB2312"/>
                <w:sz w:val="24"/>
              </w:rPr>
            </w:pPr>
            <w:r>
              <w:rPr>
                <w:rFonts w:eastAsia="仿宋_GB2312"/>
                <w:sz w:val="24"/>
              </w:rPr>
              <w:t>以其他测绘资质单位名义从事测绘活动，或超越资质等级许可范围从事测绘活动，或允许其他单位以本单位的名义从事测绘活动的</w:t>
            </w:r>
          </w:p>
        </w:tc>
        <w:tc>
          <w:tcPr>
            <w:tcW w:w="5060" w:type="dxa"/>
            <w:tcBorders>
              <w:top w:val="single" w:color="auto" w:sz="4" w:space="0"/>
              <w:left w:val="nil"/>
              <w:bottom w:val="single" w:color="auto" w:sz="4" w:space="0"/>
              <w:right w:val="single" w:color="auto" w:sz="4" w:space="0"/>
            </w:tcBorders>
            <w:noWrap w:val="0"/>
            <w:vAlign w:val="center"/>
          </w:tcPr>
          <w:p>
            <w:pPr>
              <w:spacing w:line="273" w:lineRule="auto"/>
              <w:jc w:val="left"/>
              <w:rPr>
                <w:rFonts w:eastAsia="仿宋_GB2312"/>
                <w:sz w:val="24"/>
              </w:rPr>
            </w:pPr>
            <w:r>
              <w:rPr>
                <w:rFonts w:eastAsia="仿宋_GB2312"/>
                <w:sz w:val="24"/>
              </w:rPr>
              <w:t>扣30分／次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1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无间隔1"/>
    <w:basedOn w:val="1"/>
    <w:qFormat/>
    <w:uiPriority w:val="0"/>
    <w:rPr>
      <w:rFonts w:ascii="Calibri" w:hAnsi="Calibri"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2021-06-30T08:50:26Z</dcterms:created>
  <dc:creator>Administrator</dc:creator>
  <cp:lastModifiedBy>易礼</cp:lastModifiedBy>
  <dcterms:modified xsi:type="dcterms:W3CDTF">2021-06-30T08:50:57Z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KSOSaveFontToCloudKey">
    <vt:lpwstr>491737862_btnclosed</vt:lpwstr>
  </property>
  <property fmtid="{D5CDD505-2E9C-101B-9397-08002B2CF9AE}" pid="4" name="ICV">
    <vt:lpwstr>69E5E91ADD3B47789C51657C4232CA4E</vt:lpwstr>
  </property>
</Properties>
</file>