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422" w:afterAutospacing="0" w:line="600" w:lineRule="exac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附件2</w:t>
      </w:r>
    </w:p>
    <w:p>
      <w:pPr>
        <w:pStyle w:val="2"/>
        <w:widowControl/>
        <w:spacing w:beforeAutospacing="0" w:after="422" w:afterAutospacing="0" w:line="600" w:lineRule="exact"/>
        <w:jc w:val="center"/>
        <w:rPr>
          <w:rFonts w:ascii="方正小标宋简体" w:hAnsi="仿宋_GB2312" w:eastAsia="方正小标宋简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color w:val="333333"/>
          <w:sz w:val="32"/>
          <w:szCs w:val="32"/>
          <w:shd w:val="clear" w:color="auto" w:fill="FFFFFF"/>
        </w:rPr>
        <w:t>2023年省级历史遗留矿山生态修复备选项目名单</w:t>
      </w:r>
    </w:p>
    <w:tbl>
      <w:tblPr>
        <w:tblStyle w:val="3"/>
        <w:tblW w:w="867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8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株洲市、炎陵县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汝城县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茶陵县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嘉禾县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攸县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衡阳县</w:t>
            </w:r>
            <w:r>
              <w:rPr>
                <w:rStyle w:val="6"/>
                <w:rFonts w:eastAsia="宋体"/>
              </w:rPr>
              <w:t>2023</w:t>
            </w:r>
            <w:r>
              <w:rPr>
                <w:rStyle w:val="5"/>
                <w:rFonts w:hAnsi="Times New Roman"/>
              </w:rPr>
              <w:t>年历史遗留矿山生态修复项目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5"/>
                <w:rFonts w:hAnsi="Times New Roman"/>
              </w:rPr>
              <w:t>衡山县南岳自然保护区及周边历史遗留矿山生态修复项目</w:t>
            </w:r>
          </w:p>
        </w:tc>
      </w:tr>
    </w:tbl>
    <w:p>
      <w:pPr>
        <w:spacing w:line="600" w:lineRule="exact"/>
      </w:pPr>
    </w:p>
    <w:p>
      <w:pPr>
        <w:spacing w:line="60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NmMwN2Y5NmVhMGNhODk4OTU4ZWEwMjk4ZGJkYjAifQ=="/>
  </w:docVars>
  <w:rsids>
    <w:rsidRoot w:val="00000000"/>
    <w:rsid w:val="6C33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font31"/>
    <w:basedOn w:val="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2022-09-16T05:12:32Z</dcterms:created>
  <dc:creator>Administrator</dc:creator>
  <cp:lastModifiedBy>万华兵</cp:lastModifiedBy>
  <dcterms:modified xsi:type="dcterms:W3CDTF">2022-09-16T05:12:41Z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921449E7E8E0420894CCEBD6F4D705BD</vt:lpwstr>
  </property>
</Properties>
</file>