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4E48F">
      <w:pPr>
        <w:spacing w:after="320" w:afterLines="100" w:line="600" w:lineRule="exact"/>
        <w:ind w:right="-105" w:rightChars="-50"/>
        <w:jc w:val="center"/>
        <w:rPr>
          <w:rFonts w:hint="eastAsia" w:ascii="Times New Roman" w:hAnsi="Times New Roman" w:eastAsia="方正小标宋_GBK" w:cs="Times New Roman"/>
          <w:sz w:val="44"/>
          <w:szCs w:val="44"/>
          <w:lang w:eastAsia="zh-CN"/>
        </w:rPr>
      </w:pPr>
      <w:r>
        <w:rPr>
          <w:rFonts w:ascii="Times New Roman" w:hAnsi="Times New Roman" w:eastAsia="方正小标宋_GBK" w:cs="Times New Roman"/>
          <w:color w:val="000000"/>
          <w:sz w:val="44"/>
          <w:szCs w:val="44"/>
        </w:rPr>
        <w:t>202</w:t>
      </w:r>
      <w:r>
        <w:rPr>
          <w:rFonts w:hint="default" w:ascii="Times New Roman" w:hAnsi="Times New Roman" w:eastAsia="方正小标宋_GBK" w:cs="Times New Roman"/>
          <w:color w:val="000000"/>
          <w:sz w:val="44"/>
          <w:szCs w:val="44"/>
          <w:lang w:val="en-US"/>
        </w:rPr>
        <w:t>4</w:t>
      </w:r>
      <w:r>
        <w:rPr>
          <w:rFonts w:ascii="Times New Roman" w:hAnsi="Times New Roman" w:eastAsia="方正小标宋_GBK" w:cs="Times New Roman"/>
          <w:color w:val="000000"/>
          <w:sz w:val="44"/>
          <w:szCs w:val="44"/>
        </w:rPr>
        <w:t>年度“谁执法谁普法”</w:t>
      </w:r>
      <w:r>
        <w:rPr>
          <w:rFonts w:hint="default" w:ascii="Times New Roman" w:hAnsi="Times New Roman" w:eastAsia="方正小标宋_GBK" w:cs="Times New Roman"/>
          <w:sz w:val="44"/>
          <w:szCs w:val="44"/>
        </w:rPr>
        <w:t>责任清单</w:t>
      </w:r>
      <w:r>
        <w:rPr>
          <w:rFonts w:hint="eastAsia" w:ascii="Times New Roman" w:hAnsi="Times New Roman" w:eastAsia="方正小标宋_GBK" w:cs="Times New Roman"/>
          <w:sz w:val="44"/>
          <w:szCs w:val="44"/>
          <w:lang w:eastAsia="zh-CN"/>
        </w:rPr>
        <w:t>、</w:t>
      </w:r>
      <w:r>
        <w:rPr>
          <w:rFonts w:hint="default" w:ascii="Times New Roman" w:hAnsi="Times New Roman" w:eastAsia="方正小标宋_GBK" w:cs="Times New Roman"/>
          <w:sz w:val="44"/>
          <w:szCs w:val="44"/>
        </w:rPr>
        <w:t>任务清单报送表</w:t>
      </w:r>
    </w:p>
    <w:p w14:paraId="4AE8ACD3">
      <w:pPr>
        <w:spacing w:line="600" w:lineRule="exact"/>
        <w:ind w:right="-105" w:rightChars="-50"/>
        <w:jc w:val="center"/>
        <w:rPr>
          <w:rFonts w:hint="eastAsia" w:ascii="方正小标宋_GBK" w:hAnsi="方正小标宋_GBK" w:eastAsia="方正小标宋_GBK" w:cs="方正小标宋_GBK"/>
          <w:sz w:val="44"/>
          <w:szCs w:val="44"/>
        </w:rPr>
      </w:pPr>
    </w:p>
    <w:p w14:paraId="60B171C6">
      <w:pPr>
        <w:spacing w:line="600" w:lineRule="exact"/>
        <w:ind w:right="-105" w:rightChars="-5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w:t>
      </w:r>
      <w:r>
        <w:rPr>
          <w:rFonts w:hint="default" w:ascii="方正小标宋_GBK" w:hAnsi="方正小标宋_GBK" w:eastAsia="方正小标宋_GBK" w:cs="方正小标宋_GBK"/>
          <w:sz w:val="44"/>
          <w:szCs w:val="44"/>
          <w:lang w:val="en-US"/>
        </w:rPr>
        <w:t>4</w:t>
      </w:r>
      <w:r>
        <w:rPr>
          <w:rFonts w:hint="eastAsia" w:ascii="方正小标宋_GBK" w:hAnsi="方正小标宋_GBK" w:eastAsia="方正小标宋_GBK" w:cs="方正小标宋_GBK"/>
          <w:sz w:val="44"/>
          <w:szCs w:val="44"/>
        </w:rPr>
        <w:t>年湖南省省直国家机关及中央在湘有关单位“谁执法谁普法”</w:t>
      </w:r>
    </w:p>
    <w:p w14:paraId="1AA0EB67">
      <w:pPr>
        <w:spacing w:line="600" w:lineRule="exact"/>
        <w:ind w:right="-105" w:rightChars="-50"/>
        <w:jc w:val="center"/>
        <w:rPr>
          <w:rFonts w:hint="eastAsia"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普法责任清单报送表</w:t>
      </w:r>
    </w:p>
    <w:p w14:paraId="38CFDE13">
      <w:pPr>
        <w:spacing w:line="600" w:lineRule="exact"/>
        <w:ind w:right="-105" w:rightChars="-50" w:firstLine="960" w:firstLineChars="300"/>
        <w:jc w:val="left"/>
        <w:rPr>
          <w:rFonts w:ascii="Times New Roman" w:hAnsi="Times New Roman" w:eastAsia="仿宋_GB2312"/>
          <w:sz w:val="32"/>
          <w:szCs w:val="32"/>
        </w:rPr>
      </w:pPr>
      <w:r>
        <w:rPr>
          <w:rFonts w:hint="eastAsia" w:ascii="仿宋_GB2312" w:hAnsi="仿宋_GB2312" w:eastAsia="仿宋_GB2312" w:cs="仿宋_GB2312"/>
          <w:sz w:val="32"/>
          <w:szCs w:val="32"/>
        </w:rPr>
        <w:t xml:space="preserve">单位：湖南省自然资源厅                            </w:t>
      </w:r>
      <w:r>
        <w:rPr>
          <w:rFonts w:ascii="Times New Roman" w:hAnsi="Times New Roman" w:eastAsia="仿宋_GB2312"/>
          <w:sz w:val="32"/>
          <w:szCs w:val="32"/>
        </w:rPr>
        <w:t xml:space="preserve"> 填报时间：202</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年3月</w:t>
      </w:r>
      <w:r>
        <w:rPr>
          <w:rFonts w:hint="default" w:ascii="Times New Roman" w:hAnsi="Times New Roman" w:eastAsia="仿宋_GB2312"/>
          <w:sz w:val="32"/>
          <w:szCs w:val="32"/>
          <w:lang w:val="en-US"/>
        </w:rPr>
        <w:t>2</w:t>
      </w:r>
      <w:r>
        <w:rPr>
          <w:rFonts w:hint="eastAsia" w:ascii="Times New Roman" w:hAnsi="Times New Roman" w:eastAsia="仿宋_GB2312"/>
          <w:sz w:val="32"/>
          <w:szCs w:val="32"/>
        </w:rPr>
        <w:t xml:space="preserve"> </w:t>
      </w:r>
      <w:r>
        <w:rPr>
          <w:rFonts w:ascii="Times New Roman" w:hAnsi="Times New Roman" w:eastAsia="仿宋_GB2312"/>
          <w:sz w:val="32"/>
          <w:szCs w:val="32"/>
        </w:rPr>
        <w:t>日</w:t>
      </w:r>
    </w:p>
    <w:tbl>
      <w:tblPr>
        <w:tblStyle w:val="2"/>
        <w:tblW w:w="14460" w:type="dxa"/>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0"/>
        <w:gridCol w:w="6600"/>
        <w:gridCol w:w="2475"/>
        <w:gridCol w:w="2235"/>
      </w:tblGrid>
      <w:tr w14:paraId="663A8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3150" w:type="dxa"/>
            <w:noWrap w:val="0"/>
            <w:vAlign w:val="center"/>
          </w:tcPr>
          <w:p w14:paraId="083223DB">
            <w:pPr>
              <w:spacing w:line="600" w:lineRule="exact"/>
              <w:ind w:right="-105" w:rightChars="-50"/>
              <w:jc w:val="center"/>
              <w:rPr>
                <w:rFonts w:hint="eastAsia" w:ascii="楷体" w:hAnsi="楷体" w:eastAsia="楷体" w:cs="楷体"/>
                <w:sz w:val="32"/>
                <w:szCs w:val="32"/>
              </w:rPr>
            </w:pPr>
            <w:r>
              <w:rPr>
                <w:rFonts w:hint="eastAsia" w:ascii="楷体" w:hAnsi="楷体" w:eastAsia="楷体" w:cs="楷体"/>
                <w:sz w:val="32"/>
                <w:szCs w:val="32"/>
              </w:rPr>
              <w:t>单位名称</w:t>
            </w:r>
          </w:p>
        </w:tc>
        <w:tc>
          <w:tcPr>
            <w:tcW w:w="6600" w:type="dxa"/>
            <w:noWrap w:val="0"/>
            <w:vAlign w:val="center"/>
          </w:tcPr>
          <w:p w14:paraId="4A327C3A">
            <w:pPr>
              <w:spacing w:line="600" w:lineRule="exact"/>
              <w:ind w:right="-105" w:rightChars="-50"/>
              <w:jc w:val="center"/>
              <w:rPr>
                <w:rFonts w:hint="eastAsia" w:ascii="楷体" w:hAnsi="楷体" w:eastAsia="楷体" w:cs="楷体"/>
                <w:sz w:val="32"/>
                <w:szCs w:val="32"/>
              </w:rPr>
            </w:pPr>
            <w:r>
              <w:rPr>
                <w:rFonts w:hint="eastAsia" w:ascii="楷体" w:hAnsi="楷体" w:eastAsia="楷体" w:cs="楷体"/>
                <w:sz w:val="32"/>
                <w:szCs w:val="32"/>
              </w:rPr>
              <w:t>新增或删减的本部门重点宣传法律法规规章</w:t>
            </w:r>
          </w:p>
        </w:tc>
        <w:tc>
          <w:tcPr>
            <w:tcW w:w="2475" w:type="dxa"/>
            <w:noWrap w:val="0"/>
            <w:vAlign w:val="center"/>
          </w:tcPr>
          <w:p w14:paraId="6AAC8EE4">
            <w:pPr>
              <w:spacing w:line="600" w:lineRule="exact"/>
              <w:ind w:right="-105" w:rightChars="-50"/>
              <w:jc w:val="center"/>
              <w:rPr>
                <w:rFonts w:hint="eastAsia" w:ascii="楷体" w:hAnsi="楷体" w:eastAsia="楷体" w:cs="楷体"/>
                <w:sz w:val="32"/>
                <w:szCs w:val="32"/>
              </w:rPr>
            </w:pPr>
            <w:r>
              <w:rPr>
                <w:rFonts w:hint="eastAsia" w:ascii="楷体" w:hAnsi="楷体" w:eastAsia="楷体" w:cs="楷体"/>
                <w:sz w:val="32"/>
                <w:szCs w:val="32"/>
              </w:rPr>
              <w:t>责任部门</w:t>
            </w:r>
          </w:p>
        </w:tc>
        <w:tc>
          <w:tcPr>
            <w:tcW w:w="2235" w:type="dxa"/>
            <w:noWrap w:val="0"/>
            <w:vAlign w:val="center"/>
          </w:tcPr>
          <w:p w14:paraId="1DA58707">
            <w:pPr>
              <w:spacing w:line="600" w:lineRule="exact"/>
              <w:ind w:right="-105" w:rightChars="-50"/>
              <w:jc w:val="center"/>
              <w:rPr>
                <w:rFonts w:hint="eastAsia" w:ascii="楷体" w:hAnsi="楷体" w:eastAsia="楷体" w:cs="楷体"/>
                <w:sz w:val="32"/>
                <w:szCs w:val="32"/>
              </w:rPr>
            </w:pPr>
            <w:r>
              <w:rPr>
                <w:rFonts w:hint="eastAsia" w:ascii="楷体" w:hAnsi="楷体" w:eastAsia="楷体" w:cs="楷体"/>
                <w:sz w:val="32"/>
                <w:szCs w:val="32"/>
              </w:rPr>
              <w:t>备注</w:t>
            </w:r>
          </w:p>
        </w:tc>
      </w:tr>
      <w:tr w14:paraId="37402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3150" w:type="dxa"/>
            <w:vMerge w:val="restart"/>
            <w:noWrap w:val="0"/>
            <w:vAlign w:val="center"/>
          </w:tcPr>
          <w:p w14:paraId="3B85CB17">
            <w:pPr>
              <w:spacing w:line="360" w:lineRule="exact"/>
              <w:jc w:val="center"/>
              <w:rPr>
                <w:rFonts w:ascii="Times New Roman" w:hAnsi="Times New Roman" w:eastAsia="楷体"/>
                <w:color w:val="000000"/>
                <w:sz w:val="24"/>
              </w:rPr>
            </w:pPr>
            <w:r>
              <w:rPr>
                <w:rFonts w:hint="eastAsia" w:ascii="Times New Roman" w:hAnsi="Times New Roman" w:eastAsia="楷体"/>
                <w:sz w:val="32"/>
                <w:szCs w:val="32"/>
              </w:rPr>
              <w:t>湖南省自然资源厅</w:t>
            </w:r>
          </w:p>
        </w:tc>
        <w:tc>
          <w:tcPr>
            <w:tcW w:w="6600" w:type="dxa"/>
            <w:noWrap w:val="0"/>
            <w:vAlign w:val="center"/>
          </w:tcPr>
          <w:p w14:paraId="17E2FAF1">
            <w:pPr>
              <w:spacing w:line="360" w:lineRule="exact"/>
              <w:jc w:val="left"/>
              <w:rPr>
                <w:rFonts w:hint="eastAsia" w:ascii="Times New Roman" w:hAnsi="Times New Roman" w:eastAsia="楷体"/>
                <w:color w:val="000000"/>
                <w:sz w:val="24"/>
                <w:lang w:eastAsia="zh-CN"/>
              </w:rPr>
            </w:pPr>
            <w:r>
              <w:rPr>
                <w:rFonts w:hint="eastAsia" w:ascii="Times New Roman" w:hAnsi="Times New Roman" w:eastAsia="楷体"/>
                <w:color w:val="000000"/>
                <w:sz w:val="24"/>
                <w:lang w:eastAsia="zh-CN"/>
              </w:rPr>
              <w:t>行政复议法</w:t>
            </w:r>
          </w:p>
        </w:tc>
        <w:tc>
          <w:tcPr>
            <w:tcW w:w="2475" w:type="dxa"/>
            <w:noWrap w:val="0"/>
            <w:vAlign w:val="center"/>
          </w:tcPr>
          <w:p w14:paraId="404F31D0">
            <w:pPr>
              <w:spacing w:line="360" w:lineRule="exact"/>
              <w:jc w:val="center"/>
              <w:rPr>
                <w:rFonts w:ascii="Times New Roman" w:hAnsi="Times New Roman" w:eastAsia="楷体"/>
                <w:color w:val="000000"/>
                <w:sz w:val="24"/>
              </w:rPr>
            </w:pPr>
            <w:r>
              <w:rPr>
                <w:rFonts w:hint="eastAsia" w:ascii="Times New Roman" w:hAnsi="Times New Roman" w:eastAsia="楷体"/>
                <w:color w:val="000000"/>
                <w:sz w:val="24"/>
                <w:lang w:eastAsia="zh-CN"/>
              </w:rPr>
              <w:t>法规</w:t>
            </w:r>
            <w:r>
              <w:rPr>
                <w:rFonts w:hint="eastAsia" w:ascii="Times New Roman" w:hAnsi="Times New Roman" w:eastAsia="楷体"/>
                <w:color w:val="000000"/>
                <w:sz w:val="24"/>
              </w:rPr>
              <w:t>处</w:t>
            </w:r>
          </w:p>
        </w:tc>
        <w:tc>
          <w:tcPr>
            <w:tcW w:w="2235" w:type="dxa"/>
            <w:noWrap w:val="0"/>
            <w:vAlign w:val="center"/>
          </w:tcPr>
          <w:p w14:paraId="46461405">
            <w:pPr>
              <w:spacing w:line="360" w:lineRule="exact"/>
              <w:jc w:val="center"/>
              <w:rPr>
                <w:rFonts w:ascii="Times New Roman" w:hAnsi="Times New Roman" w:eastAsia="楷体"/>
                <w:color w:val="000000"/>
                <w:sz w:val="24"/>
              </w:rPr>
            </w:pPr>
            <w:r>
              <w:rPr>
                <w:rFonts w:hint="eastAsia" w:ascii="Times New Roman" w:hAnsi="Times New Roman" w:eastAsia="楷体"/>
                <w:color w:val="000000"/>
                <w:sz w:val="24"/>
              </w:rPr>
              <w:t>新增</w:t>
            </w:r>
          </w:p>
        </w:tc>
      </w:tr>
      <w:tr w14:paraId="0C658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3150" w:type="dxa"/>
            <w:vMerge w:val="continue"/>
            <w:noWrap w:val="0"/>
            <w:vAlign w:val="center"/>
          </w:tcPr>
          <w:p w14:paraId="217711C1">
            <w:pPr>
              <w:spacing w:line="360" w:lineRule="exact"/>
              <w:jc w:val="left"/>
              <w:rPr>
                <w:rFonts w:hint="eastAsia" w:ascii="Times New Roman" w:hAnsi="Times New Roman" w:eastAsia="楷体"/>
                <w:color w:val="000000"/>
                <w:sz w:val="24"/>
              </w:rPr>
            </w:pPr>
          </w:p>
        </w:tc>
        <w:tc>
          <w:tcPr>
            <w:tcW w:w="9075" w:type="dxa"/>
            <w:gridSpan w:val="2"/>
            <w:noWrap w:val="0"/>
            <w:vAlign w:val="center"/>
          </w:tcPr>
          <w:p w14:paraId="575439DC">
            <w:pPr>
              <w:spacing w:line="360" w:lineRule="exact"/>
              <w:jc w:val="left"/>
              <w:rPr>
                <w:rFonts w:hint="eastAsia" w:ascii="Times New Roman" w:hAnsi="Times New Roman" w:eastAsia="楷体"/>
                <w:color w:val="000000"/>
                <w:sz w:val="24"/>
              </w:rPr>
            </w:pPr>
            <w:r>
              <w:rPr>
                <w:rFonts w:hint="eastAsia" w:ascii="Times New Roman" w:hAnsi="Times New Roman" w:eastAsia="楷体"/>
                <w:color w:val="000000"/>
                <w:sz w:val="24"/>
              </w:rPr>
              <w:t>本单位普法工作的组织协调部门：法规处</w:t>
            </w:r>
          </w:p>
        </w:tc>
        <w:tc>
          <w:tcPr>
            <w:tcW w:w="2235" w:type="dxa"/>
            <w:noWrap w:val="0"/>
            <w:vAlign w:val="center"/>
          </w:tcPr>
          <w:p w14:paraId="00619526">
            <w:pPr>
              <w:spacing w:line="360" w:lineRule="exact"/>
              <w:jc w:val="left"/>
              <w:rPr>
                <w:rFonts w:hint="eastAsia" w:ascii="Times New Roman" w:hAnsi="Times New Roman" w:eastAsia="楷体"/>
                <w:color w:val="000000"/>
                <w:sz w:val="24"/>
              </w:rPr>
            </w:pPr>
          </w:p>
        </w:tc>
      </w:tr>
    </w:tbl>
    <w:p w14:paraId="19DE7126">
      <w:pPr>
        <w:spacing w:line="600" w:lineRule="exact"/>
        <w:ind w:right="-105" w:rightChars="-50"/>
        <w:jc w:val="left"/>
        <w:rPr>
          <w:rFonts w:ascii="Times New Roman" w:hAnsi="Times New Roman" w:eastAsia="仿宋_GB2312"/>
          <w:sz w:val="32"/>
          <w:szCs w:val="32"/>
        </w:rPr>
      </w:pPr>
    </w:p>
    <w:p w14:paraId="166BB4A3">
      <w:pPr>
        <w:jc w:val="left"/>
        <w:rPr>
          <w:rFonts w:ascii="Times New Roman" w:hAnsi="Times New Roman" w:eastAsia="黑体"/>
          <w:sz w:val="32"/>
          <w:szCs w:val="32"/>
        </w:rPr>
      </w:pPr>
    </w:p>
    <w:p w14:paraId="712A101E">
      <w:pPr>
        <w:jc w:val="left"/>
        <w:rPr>
          <w:rFonts w:ascii="Times New Roman" w:hAnsi="Times New Roman" w:eastAsia="黑体"/>
          <w:sz w:val="32"/>
          <w:szCs w:val="32"/>
        </w:rPr>
      </w:pPr>
    </w:p>
    <w:p w14:paraId="50C26A23">
      <w:pPr>
        <w:jc w:val="left"/>
        <w:rPr>
          <w:rFonts w:ascii="Times New Roman" w:hAnsi="Times New Roman" w:eastAsia="黑体"/>
          <w:sz w:val="32"/>
          <w:szCs w:val="32"/>
        </w:rPr>
      </w:pPr>
    </w:p>
    <w:p w14:paraId="6DBC1F65">
      <w:pPr>
        <w:jc w:val="left"/>
        <w:rPr>
          <w:rFonts w:hint="eastAsia" w:ascii="Times New Roman" w:hAnsi="Times New Roman" w:eastAsia="黑体"/>
          <w:sz w:val="32"/>
          <w:szCs w:val="32"/>
        </w:rPr>
      </w:pPr>
      <w:r>
        <w:rPr>
          <w:rFonts w:ascii="Times New Roman" w:hAnsi="Times New Roman" w:eastAsia="黑体"/>
          <w:sz w:val="32"/>
          <w:szCs w:val="32"/>
        </w:rPr>
        <w:t>附件</w:t>
      </w:r>
      <w:r>
        <w:rPr>
          <w:rFonts w:hint="eastAsia" w:ascii="Times New Roman" w:hAnsi="Times New Roman" w:eastAsia="黑体"/>
          <w:sz w:val="32"/>
          <w:szCs w:val="32"/>
        </w:rPr>
        <w:t>2</w:t>
      </w:r>
    </w:p>
    <w:p w14:paraId="31CB97EA">
      <w:pPr>
        <w:spacing w:line="600" w:lineRule="exact"/>
        <w:ind w:right="-105" w:rightChars="-5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w:t>
      </w:r>
      <w:r>
        <w:rPr>
          <w:rFonts w:hint="default" w:ascii="方正小标宋_GBK" w:hAnsi="方正小标宋_GBK" w:eastAsia="方正小标宋_GBK" w:cs="方正小标宋_GBK"/>
          <w:sz w:val="44"/>
          <w:szCs w:val="44"/>
          <w:lang w:val="en-US"/>
        </w:rPr>
        <w:t>4</w:t>
      </w:r>
      <w:r>
        <w:rPr>
          <w:rFonts w:hint="eastAsia" w:ascii="方正小标宋_GBK" w:hAnsi="方正小标宋_GBK" w:eastAsia="方正小标宋_GBK" w:cs="方正小标宋_GBK"/>
          <w:sz w:val="44"/>
          <w:szCs w:val="44"/>
        </w:rPr>
        <w:t>年湖南省省直国家机关及中央在湘有关单位“谁执法谁普法”</w:t>
      </w:r>
    </w:p>
    <w:p w14:paraId="0D53C8DD">
      <w:pPr>
        <w:spacing w:line="600" w:lineRule="exact"/>
        <w:ind w:right="-105" w:rightChars="-5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重点任务清单报送表</w:t>
      </w:r>
    </w:p>
    <w:p w14:paraId="6427ABF0">
      <w:pPr>
        <w:ind w:firstLine="960" w:firstLineChars="300"/>
        <w:jc w:val="left"/>
        <w:rPr>
          <w:rFonts w:ascii="Times New Roman" w:hAnsi="Times New Roman" w:eastAsia="仿宋_GB2312"/>
          <w:sz w:val="32"/>
          <w:szCs w:val="32"/>
        </w:rPr>
      </w:pPr>
      <w:r>
        <w:rPr>
          <w:rFonts w:ascii="Times New Roman" w:hAnsi="Times New Roman" w:eastAsia="仿宋_GB2312"/>
          <w:sz w:val="32"/>
          <w:szCs w:val="32"/>
        </w:rPr>
        <w:t>单位：湖南省自然资源厅（厅本级）                  填报时间：202</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年3月</w:t>
      </w:r>
      <w:r>
        <w:rPr>
          <w:rFonts w:hint="default" w:ascii="Times New Roman" w:hAnsi="Times New Roman" w:eastAsia="仿宋_GB2312"/>
          <w:sz w:val="32"/>
          <w:szCs w:val="32"/>
          <w:lang w:val="en-US"/>
        </w:rPr>
        <w:t>2</w:t>
      </w:r>
      <w:r>
        <w:rPr>
          <w:rFonts w:ascii="Times New Roman" w:hAnsi="Times New Roman" w:eastAsia="仿宋_GB2312"/>
          <w:sz w:val="32"/>
          <w:szCs w:val="32"/>
        </w:rPr>
        <w:t>日</w:t>
      </w:r>
    </w:p>
    <w:tbl>
      <w:tblPr>
        <w:tblStyle w:val="2"/>
        <w:tblW w:w="14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720"/>
        <w:gridCol w:w="10482"/>
        <w:gridCol w:w="2261"/>
      </w:tblGrid>
      <w:tr w14:paraId="3F44A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blHeader/>
          <w:jc w:val="center"/>
        </w:trPr>
        <w:tc>
          <w:tcPr>
            <w:tcW w:w="975" w:type="dxa"/>
            <w:noWrap w:val="0"/>
            <w:vAlign w:val="center"/>
          </w:tcPr>
          <w:p w14:paraId="1078269D">
            <w:pPr>
              <w:spacing w:line="360" w:lineRule="exact"/>
              <w:jc w:val="center"/>
              <w:rPr>
                <w:rFonts w:ascii="Times New Roman" w:hAnsi="Times New Roman" w:eastAsia="楷体"/>
                <w:sz w:val="32"/>
                <w:szCs w:val="32"/>
              </w:rPr>
            </w:pPr>
            <w:r>
              <w:rPr>
                <w:rFonts w:ascii="Times New Roman" w:hAnsi="Times New Roman" w:eastAsia="楷体"/>
                <w:sz w:val="32"/>
                <w:szCs w:val="32"/>
              </w:rPr>
              <w:t>项目指标</w:t>
            </w:r>
          </w:p>
        </w:tc>
        <w:tc>
          <w:tcPr>
            <w:tcW w:w="720" w:type="dxa"/>
            <w:noWrap w:val="0"/>
            <w:vAlign w:val="center"/>
          </w:tcPr>
          <w:p w14:paraId="57FF3C8D">
            <w:pPr>
              <w:spacing w:line="360" w:lineRule="exact"/>
              <w:jc w:val="center"/>
              <w:rPr>
                <w:rFonts w:ascii="Times New Roman" w:hAnsi="Times New Roman" w:eastAsia="楷体"/>
                <w:sz w:val="32"/>
                <w:szCs w:val="32"/>
              </w:rPr>
            </w:pPr>
            <w:r>
              <w:rPr>
                <w:rFonts w:ascii="Times New Roman" w:hAnsi="Times New Roman" w:eastAsia="楷体"/>
                <w:sz w:val="32"/>
                <w:szCs w:val="32"/>
              </w:rPr>
              <w:t>序号</w:t>
            </w:r>
          </w:p>
        </w:tc>
        <w:tc>
          <w:tcPr>
            <w:tcW w:w="10482" w:type="dxa"/>
            <w:noWrap w:val="0"/>
            <w:vAlign w:val="center"/>
          </w:tcPr>
          <w:p w14:paraId="0D07FFAA">
            <w:pPr>
              <w:spacing w:line="360" w:lineRule="exact"/>
              <w:jc w:val="center"/>
              <w:rPr>
                <w:rFonts w:ascii="Times New Roman" w:hAnsi="Times New Roman" w:eastAsia="楷体"/>
                <w:sz w:val="32"/>
                <w:szCs w:val="32"/>
              </w:rPr>
            </w:pPr>
            <w:r>
              <w:rPr>
                <w:rFonts w:ascii="Times New Roman" w:hAnsi="Times New Roman" w:eastAsia="楷体"/>
                <w:sz w:val="32"/>
                <w:szCs w:val="32"/>
              </w:rPr>
              <w:t>重点普法任务</w:t>
            </w:r>
          </w:p>
        </w:tc>
        <w:tc>
          <w:tcPr>
            <w:tcW w:w="2261" w:type="dxa"/>
            <w:noWrap w:val="0"/>
            <w:vAlign w:val="center"/>
          </w:tcPr>
          <w:p w14:paraId="122E2B25">
            <w:pPr>
              <w:spacing w:line="360" w:lineRule="exact"/>
              <w:jc w:val="center"/>
              <w:rPr>
                <w:rFonts w:ascii="Times New Roman" w:hAnsi="Times New Roman" w:eastAsia="楷体"/>
                <w:sz w:val="32"/>
                <w:szCs w:val="32"/>
              </w:rPr>
            </w:pPr>
            <w:r>
              <w:rPr>
                <w:rFonts w:ascii="Times New Roman" w:hAnsi="Times New Roman" w:eastAsia="楷体"/>
                <w:sz w:val="32"/>
                <w:szCs w:val="32"/>
              </w:rPr>
              <w:t>备注</w:t>
            </w:r>
          </w:p>
        </w:tc>
      </w:tr>
      <w:tr w14:paraId="4C6F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75" w:type="dxa"/>
            <w:vMerge w:val="restart"/>
            <w:noWrap w:val="0"/>
            <w:vAlign w:val="center"/>
          </w:tcPr>
          <w:p w14:paraId="470B2687">
            <w:pPr>
              <w:jc w:val="center"/>
              <w:rPr>
                <w:rFonts w:ascii="Times New Roman" w:hAnsi="Times New Roman" w:eastAsia="楷体"/>
                <w:sz w:val="32"/>
                <w:szCs w:val="32"/>
              </w:rPr>
            </w:pPr>
            <w:r>
              <w:rPr>
                <w:rFonts w:ascii="Times New Roman" w:hAnsi="Times New Roman" w:eastAsia="楷体"/>
                <w:sz w:val="32"/>
                <w:szCs w:val="32"/>
              </w:rPr>
              <w:t>公</w:t>
            </w:r>
          </w:p>
          <w:p w14:paraId="7365AD2D">
            <w:pPr>
              <w:jc w:val="center"/>
              <w:rPr>
                <w:rFonts w:ascii="Times New Roman" w:hAnsi="Times New Roman" w:eastAsia="楷体"/>
                <w:sz w:val="32"/>
                <w:szCs w:val="32"/>
              </w:rPr>
            </w:pPr>
            <w:r>
              <w:rPr>
                <w:rFonts w:ascii="Times New Roman" w:hAnsi="Times New Roman" w:eastAsia="楷体"/>
                <w:sz w:val="32"/>
                <w:szCs w:val="32"/>
              </w:rPr>
              <w:t>共</w:t>
            </w:r>
          </w:p>
          <w:p w14:paraId="73ADA58D">
            <w:pPr>
              <w:jc w:val="center"/>
              <w:rPr>
                <w:rFonts w:ascii="Times New Roman" w:hAnsi="Times New Roman" w:eastAsia="楷体"/>
                <w:sz w:val="32"/>
                <w:szCs w:val="32"/>
              </w:rPr>
            </w:pPr>
            <w:r>
              <w:rPr>
                <w:rFonts w:ascii="Times New Roman" w:hAnsi="Times New Roman" w:eastAsia="楷体"/>
                <w:sz w:val="32"/>
                <w:szCs w:val="32"/>
              </w:rPr>
              <w:t>指</w:t>
            </w:r>
          </w:p>
          <w:p w14:paraId="7AE140AB">
            <w:pPr>
              <w:jc w:val="center"/>
              <w:rPr>
                <w:rFonts w:ascii="Times New Roman" w:hAnsi="Times New Roman" w:eastAsia="楷体"/>
                <w:sz w:val="32"/>
                <w:szCs w:val="32"/>
              </w:rPr>
            </w:pPr>
            <w:r>
              <w:rPr>
                <w:rFonts w:ascii="Times New Roman" w:hAnsi="Times New Roman" w:eastAsia="楷体"/>
                <w:sz w:val="32"/>
                <w:szCs w:val="32"/>
              </w:rPr>
              <w:t>标</w:t>
            </w:r>
          </w:p>
        </w:tc>
        <w:tc>
          <w:tcPr>
            <w:tcW w:w="720" w:type="dxa"/>
            <w:noWrap w:val="0"/>
            <w:vAlign w:val="center"/>
          </w:tcPr>
          <w:p w14:paraId="387EC48E">
            <w:pPr>
              <w:jc w:val="center"/>
              <w:rPr>
                <w:rFonts w:ascii="Times New Roman" w:hAnsi="Times New Roman" w:eastAsia="仿宋_GB2312"/>
                <w:sz w:val="28"/>
                <w:szCs w:val="28"/>
              </w:rPr>
            </w:pPr>
            <w:r>
              <w:rPr>
                <w:rFonts w:ascii="Times New Roman" w:hAnsi="Times New Roman" w:eastAsia="仿宋_GB2312"/>
                <w:sz w:val="28"/>
                <w:szCs w:val="28"/>
              </w:rPr>
              <w:t>1</w:t>
            </w:r>
          </w:p>
        </w:tc>
        <w:tc>
          <w:tcPr>
            <w:tcW w:w="10482" w:type="dxa"/>
            <w:noWrap w:val="0"/>
            <w:vAlign w:val="center"/>
          </w:tcPr>
          <w:p w14:paraId="658FD290">
            <w:pPr>
              <w:spacing w:line="360" w:lineRule="exact"/>
              <w:jc w:val="left"/>
              <w:rPr>
                <w:rFonts w:ascii="Times New Roman" w:hAnsi="Times New Roman" w:eastAsia="楷体"/>
                <w:sz w:val="32"/>
                <w:szCs w:val="32"/>
              </w:rPr>
            </w:pPr>
            <w:r>
              <w:rPr>
                <w:rFonts w:ascii="Times New Roman" w:hAnsi="Times New Roman" w:eastAsia="楷体"/>
                <w:color w:val="000000"/>
                <w:sz w:val="24"/>
              </w:rPr>
              <w:t>深入学习宣传习近平法治思想，将相关内容纳入年内党委（党组）理论学习中心组集中学法内容和本单位、本系统法治培训内容，开展宣讲不少于1次。</w:t>
            </w:r>
          </w:p>
        </w:tc>
        <w:tc>
          <w:tcPr>
            <w:tcW w:w="2261" w:type="dxa"/>
            <w:noWrap w:val="0"/>
            <w:vAlign w:val="center"/>
          </w:tcPr>
          <w:p w14:paraId="7A8B6FC6">
            <w:pPr>
              <w:spacing w:line="360" w:lineRule="exact"/>
              <w:jc w:val="center"/>
              <w:rPr>
                <w:rFonts w:ascii="Times New Roman" w:hAnsi="Times New Roman" w:eastAsia="楷体"/>
                <w:sz w:val="32"/>
                <w:szCs w:val="32"/>
              </w:rPr>
            </w:pPr>
            <w:r>
              <w:rPr>
                <w:rFonts w:ascii="Times New Roman" w:hAnsi="Times New Roman" w:eastAsia="楷体"/>
                <w:color w:val="000000"/>
                <w:sz w:val="24"/>
              </w:rPr>
              <w:t>机关党委（机关纪委）、法规处、办公室</w:t>
            </w:r>
          </w:p>
        </w:tc>
      </w:tr>
      <w:tr w14:paraId="46367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5" w:type="dxa"/>
            <w:vMerge w:val="continue"/>
            <w:noWrap w:val="0"/>
            <w:vAlign w:val="center"/>
          </w:tcPr>
          <w:p w14:paraId="46ED1773">
            <w:pPr>
              <w:spacing w:line="360" w:lineRule="exact"/>
              <w:jc w:val="center"/>
              <w:rPr>
                <w:rFonts w:ascii="Times New Roman" w:hAnsi="Times New Roman" w:eastAsia="楷体"/>
                <w:sz w:val="32"/>
                <w:szCs w:val="32"/>
              </w:rPr>
            </w:pPr>
          </w:p>
        </w:tc>
        <w:tc>
          <w:tcPr>
            <w:tcW w:w="720" w:type="dxa"/>
            <w:noWrap w:val="0"/>
            <w:vAlign w:val="center"/>
          </w:tcPr>
          <w:p w14:paraId="3A6DAB8C">
            <w:pPr>
              <w:jc w:val="center"/>
              <w:rPr>
                <w:rFonts w:ascii="Times New Roman" w:hAnsi="Times New Roman" w:eastAsia="仿宋_GB2312"/>
                <w:sz w:val="28"/>
                <w:szCs w:val="28"/>
              </w:rPr>
            </w:pPr>
            <w:r>
              <w:rPr>
                <w:rFonts w:ascii="Times New Roman" w:hAnsi="Times New Roman" w:eastAsia="仿宋_GB2312"/>
                <w:sz w:val="28"/>
                <w:szCs w:val="28"/>
              </w:rPr>
              <w:t>2</w:t>
            </w:r>
          </w:p>
        </w:tc>
        <w:tc>
          <w:tcPr>
            <w:tcW w:w="10482" w:type="dxa"/>
            <w:noWrap w:val="0"/>
            <w:vAlign w:val="center"/>
          </w:tcPr>
          <w:p w14:paraId="3452828B">
            <w:pPr>
              <w:spacing w:line="360" w:lineRule="exact"/>
              <w:jc w:val="left"/>
              <w:rPr>
                <w:rFonts w:ascii="Times New Roman" w:hAnsi="Times New Roman" w:eastAsia="楷体"/>
                <w:sz w:val="32"/>
                <w:szCs w:val="32"/>
              </w:rPr>
            </w:pPr>
            <w:r>
              <w:rPr>
                <w:rFonts w:ascii="Times New Roman" w:hAnsi="Times New Roman" w:eastAsia="楷体"/>
                <w:color w:val="000000"/>
                <w:sz w:val="24"/>
              </w:rPr>
              <w:t>突出宣传宪法，开展宪法进机关活动，组织系统干部开展日常宪法学习宣传，集中组织好本系统“宪法宣传周”活动。</w:t>
            </w:r>
          </w:p>
        </w:tc>
        <w:tc>
          <w:tcPr>
            <w:tcW w:w="2261" w:type="dxa"/>
            <w:noWrap w:val="0"/>
            <w:vAlign w:val="center"/>
          </w:tcPr>
          <w:p w14:paraId="56D6CDAF">
            <w:pPr>
              <w:spacing w:line="360" w:lineRule="exact"/>
              <w:jc w:val="center"/>
              <w:rPr>
                <w:rFonts w:ascii="Times New Roman" w:hAnsi="Times New Roman" w:eastAsia="楷体"/>
                <w:color w:val="000000"/>
                <w:sz w:val="24"/>
              </w:rPr>
            </w:pPr>
            <w:r>
              <w:rPr>
                <w:rFonts w:ascii="Times New Roman" w:hAnsi="Times New Roman" w:eastAsia="楷体"/>
                <w:color w:val="000000"/>
                <w:sz w:val="24"/>
              </w:rPr>
              <w:t>办公室、法规处</w:t>
            </w:r>
          </w:p>
        </w:tc>
      </w:tr>
      <w:tr w14:paraId="4379A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75" w:type="dxa"/>
            <w:vMerge w:val="continue"/>
            <w:noWrap w:val="0"/>
            <w:vAlign w:val="center"/>
          </w:tcPr>
          <w:p w14:paraId="3C523E6F">
            <w:pPr>
              <w:spacing w:line="360" w:lineRule="exact"/>
              <w:jc w:val="center"/>
              <w:rPr>
                <w:rFonts w:ascii="Times New Roman" w:hAnsi="Times New Roman" w:eastAsia="楷体"/>
                <w:sz w:val="32"/>
                <w:szCs w:val="32"/>
              </w:rPr>
            </w:pPr>
          </w:p>
        </w:tc>
        <w:tc>
          <w:tcPr>
            <w:tcW w:w="720" w:type="dxa"/>
            <w:noWrap w:val="0"/>
            <w:vAlign w:val="center"/>
          </w:tcPr>
          <w:p w14:paraId="42207094">
            <w:pPr>
              <w:jc w:val="center"/>
              <w:rPr>
                <w:rFonts w:ascii="Times New Roman" w:hAnsi="Times New Roman" w:eastAsia="仿宋_GB2312"/>
                <w:sz w:val="28"/>
                <w:szCs w:val="28"/>
              </w:rPr>
            </w:pPr>
            <w:r>
              <w:rPr>
                <w:rFonts w:ascii="Times New Roman" w:hAnsi="Times New Roman" w:eastAsia="仿宋_GB2312"/>
                <w:sz w:val="28"/>
                <w:szCs w:val="28"/>
              </w:rPr>
              <w:t>3</w:t>
            </w:r>
          </w:p>
        </w:tc>
        <w:tc>
          <w:tcPr>
            <w:tcW w:w="10482" w:type="dxa"/>
            <w:noWrap w:val="0"/>
            <w:vAlign w:val="center"/>
          </w:tcPr>
          <w:p w14:paraId="3D5DA9F7">
            <w:pPr>
              <w:spacing w:line="360" w:lineRule="exact"/>
              <w:jc w:val="left"/>
              <w:rPr>
                <w:rFonts w:ascii="Times New Roman" w:hAnsi="Times New Roman" w:eastAsia="楷体"/>
                <w:sz w:val="32"/>
                <w:szCs w:val="32"/>
              </w:rPr>
            </w:pPr>
            <w:r>
              <w:rPr>
                <w:rFonts w:ascii="Times New Roman" w:hAnsi="Times New Roman" w:eastAsia="楷体"/>
                <w:color w:val="000000"/>
                <w:sz w:val="24"/>
              </w:rPr>
              <w:t>落实党委（党组）理论学习中心组学法制度；每年组织学法不少于2次。</w:t>
            </w:r>
          </w:p>
        </w:tc>
        <w:tc>
          <w:tcPr>
            <w:tcW w:w="2261" w:type="dxa"/>
            <w:noWrap w:val="0"/>
            <w:vAlign w:val="center"/>
          </w:tcPr>
          <w:p w14:paraId="2A805605">
            <w:pPr>
              <w:spacing w:line="360" w:lineRule="exact"/>
              <w:jc w:val="center"/>
              <w:rPr>
                <w:rFonts w:ascii="Times New Roman" w:hAnsi="Times New Roman" w:eastAsia="楷体"/>
                <w:color w:val="000000"/>
                <w:sz w:val="24"/>
              </w:rPr>
            </w:pPr>
            <w:r>
              <w:rPr>
                <w:rFonts w:ascii="Times New Roman" w:hAnsi="Times New Roman" w:eastAsia="楷体"/>
                <w:color w:val="000000"/>
                <w:sz w:val="24"/>
              </w:rPr>
              <w:t>机关党委（机关纪委）、办公室</w:t>
            </w:r>
          </w:p>
        </w:tc>
      </w:tr>
      <w:tr w14:paraId="2457F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75" w:type="dxa"/>
            <w:vMerge w:val="continue"/>
            <w:noWrap w:val="0"/>
            <w:vAlign w:val="center"/>
          </w:tcPr>
          <w:p w14:paraId="49C7CCCE">
            <w:pPr>
              <w:spacing w:line="360" w:lineRule="exact"/>
              <w:jc w:val="center"/>
              <w:rPr>
                <w:rFonts w:ascii="Times New Roman" w:hAnsi="Times New Roman" w:eastAsia="楷体"/>
                <w:sz w:val="32"/>
                <w:szCs w:val="32"/>
              </w:rPr>
            </w:pPr>
          </w:p>
        </w:tc>
        <w:tc>
          <w:tcPr>
            <w:tcW w:w="720" w:type="dxa"/>
            <w:noWrap w:val="0"/>
            <w:vAlign w:val="center"/>
          </w:tcPr>
          <w:p w14:paraId="55A016F5">
            <w:pPr>
              <w:jc w:val="center"/>
              <w:rPr>
                <w:rFonts w:ascii="Times New Roman" w:hAnsi="Times New Roman" w:eastAsia="仿宋_GB2312"/>
                <w:sz w:val="28"/>
                <w:szCs w:val="28"/>
              </w:rPr>
            </w:pPr>
            <w:r>
              <w:rPr>
                <w:rFonts w:ascii="Times New Roman" w:hAnsi="Times New Roman" w:eastAsia="仿宋_GB2312"/>
                <w:sz w:val="28"/>
                <w:szCs w:val="28"/>
              </w:rPr>
              <w:t>4</w:t>
            </w:r>
          </w:p>
        </w:tc>
        <w:tc>
          <w:tcPr>
            <w:tcW w:w="10482" w:type="dxa"/>
            <w:noWrap w:val="0"/>
            <w:vAlign w:val="center"/>
          </w:tcPr>
          <w:p w14:paraId="0B4CFD7C">
            <w:pPr>
              <w:spacing w:line="360" w:lineRule="exact"/>
              <w:jc w:val="left"/>
              <w:rPr>
                <w:rFonts w:ascii="Times New Roman" w:hAnsi="Times New Roman" w:eastAsia="楷体"/>
                <w:sz w:val="32"/>
                <w:szCs w:val="32"/>
              </w:rPr>
            </w:pPr>
            <w:r>
              <w:rPr>
                <w:rFonts w:ascii="Times New Roman" w:hAnsi="Times New Roman" w:eastAsia="楷体"/>
                <w:color w:val="000000"/>
                <w:sz w:val="24"/>
              </w:rPr>
              <w:t>落实领导干部年终述法制度，在年度述职中加入述法内容。</w:t>
            </w:r>
          </w:p>
        </w:tc>
        <w:tc>
          <w:tcPr>
            <w:tcW w:w="2261" w:type="dxa"/>
            <w:noWrap w:val="0"/>
            <w:vAlign w:val="center"/>
          </w:tcPr>
          <w:p w14:paraId="1D172271">
            <w:pPr>
              <w:spacing w:line="360" w:lineRule="exact"/>
              <w:jc w:val="center"/>
              <w:rPr>
                <w:rFonts w:ascii="Times New Roman" w:hAnsi="Times New Roman" w:eastAsia="楷体"/>
                <w:color w:val="000000"/>
                <w:sz w:val="24"/>
              </w:rPr>
            </w:pPr>
            <w:r>
              <w:rPr>
                <w:rFonts w:ascii="Times New Roman" w:hAnsi="Times New Roman" w:eastAsia="楷体"/>
                <w:color w:val="000000"/>
                <w:sz w:val="24"/>
              </w:rPr>
              <w:t>人事处</w:t>
            </w:r>
          </w:p>
        </w:tc>
      </w:tr>
      <w:tr w14:paraId="7C5F5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975" w:type="dxa"/>
            <w:vMerge w:val="continue"/>
            <w:noWrap w:val="0"/>
            <w:vAlign w:val="center"/>
          </w:tcPr>
          <w:p w14:paraId="029B612C">
            <w:pPr>
              <w:spacing w:line="360" w:lineRule="exact"/>
              <w:jc w:val="center"/>
              <w:rPr>
                <w:rFonts w:ascii="Times New Roman" w:hAnsi="Times New Roman" w:eastAsia="楷体"/>
                <w:sz w:val="32"/>
                <w:szCs w:val="32"/>
              </w:rPr>
            </w:pPr>
          </w:p>
        </w:tc>
        <w:tc>
          <w:tcPr>
            <w:tcW w:w="720" w:type="dxa"/>
            <w:noWrap w:val="0"/>
            <w:vAlign w:val="center"/>
          </w:tcPr>
          <w:p w14:paraId="51651FE8">
            <w:pPr>
              <w:jc w:val="center"/>
              <w:rPr>
                <w:rFonts w:ascii="Times New Roman" w:hAnsi="Times New Roman" w:eastAsia="仿宋_GB2312"/>
                <w:sz w:val="28"/>
                <w:szCs w:val="28"/>
              </w:rPr>
            </w:pPr>
            <w:r>
              <w:rPr>
                <w:rFonts w:ascii="Times New Roman" w:hAnsi="Times New Roman" w:eastAsia="仿宋_GB2312"/>
                <w:sz w:val="28"/>
                <w:szCs w:val="28"/>
              </w:rPr>
              <w:t>5</w:t>
            </w:r>
          </w:p>
        </w:tc>
        <w:tc>
          <w:tcPr>
            <w:tcW w:w="10482" w:type="dxa"/>
            <w:noWrap w:val="0"/>
            <w:vAlign w:val="center"/>
          </w:tcPr>
          <w:p w14:paraId="41F44EB9">
            <w:pPr>
              <w:spacing w:line="360" w:lineRule="exact"/>
              <w:jc w:val="left"/>
              <w:rPr>
                <w:rFonts w:ascii="Times New Roman" w:hAnsi="Times New Roman" w:eastAsia="楷体"/>
                <w:sz w:val="32"/>
                <w:szCs w:val="32"/>
              </w:rPr>
            </w:pPr>
            <w:r>
              <w:rPr>
                <w:rFonts w:ascii="Times New Roman" w:hAnsi="Times New Roman" w:eastAsia="楷体"/>
                <w:color w:val="000000"/>
                <w:sz w:val="24"/>
              </w:rPr>
              <w:t>健全完善国家工作人员日常学法制度、法治培训制度、学法用法考核制度，每年至少举办一期法治专题培训班；组织做好本单位工作人员网上学法，年内课时达标率100%，应考人员参考率100%，合格率98%。按要求及时编辑、更新本系统国家工作人员年度学法相关专业法律法规学习读本和考试题库。</w:t>
            </w:r>
          </w:p>
        </w:tc>
        <w:tc>
          <w:tcPr>
            <w:tcW w:w="2261" w:type="dxa"/>
            <w:noWrap w:val="0"/>
            <w:vAlign w:val="center"/>
          </w:tcPr>
          <w:p w14:paraId="4E9AF7FC">
            <w:pPr>
              <w:spacing w:line="360" w:lineRule="exact"/>
              <w:jc w:val="center"/>
              <w:rPr>
                <w:rFonts w:ascii="Times New Roman" w:hAnsi="Times New Roman" w:eastAsia="楷体"/>
                <w:color w:val="000000"/>
                <w:sz w:val="24"/>
              </w:rPr>
            </w:pPr>
            <w:r>
              <w:rPr>
                <w:rFonts w:ascii="Times New Roman" w:hAnsi="Times New Roman" w:eastAsia="楷体"/>
                <w:color w:val="000000"/>
                <w:sz w:val="24"/>
              </w:rPr>
              <w:t>法规处</w:t>
            </w:r>
          </w:p>
        </w:tc>
      </w:tr>
      <w:tr w14:paraId="2E9F1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75" w:type="dxa"/>
            <w:vMerge w:val="continue"/>
            <w:noWrap w:val="0"/>
            <w:vAlign w:val="center"/>
          </w:tcPr>
          <w:p w14:paraId="66482341">
            <w:pPr>
              <w:spacing w:line="360" w:lineRule="exact"/>
              <w:jc w:val="center"/>
              <w:rPr>
                <w:rFonts w:ascii="Times New Roman" w:hAnsi="Times New Roman" w:eastAsia="楷体"/>
                <w:sz w:val="32"/>
                <w:szCs w:val="32"/>
              </w:rPr>
            </w:pPr>
          </w:p>
        </w:tc>
        <w:tc>
          <w:tcPr>
            <w:tcW w:w="720" w:type="dxa"/>
            <w:noWrap w:val="0"/>
            <w:vAlign w:val="center"/>
          </w:tcPr>
          <w:p w14:paraId="6E9CCABA">
            <w:pPr>
              <w:jc w:val="center"/>
              <w:rPr>
                <w:rFonts w:ascii="Times New Roman" w:hAnsi="Times New Roman" w:eastAsia="仿宋_GB2312"/>
                <w:sz w:val="28"/>
                <w:szCs w:val="28"/>
              </w:rPr>
            </w:pPr>
            <w:r>
              <w:rPr>
                <w:rFonts w:ascii="Times New Roman" w:hAnsi="Times New Roman" w:eastAsia="仿宋_GB2312"/>
                <w:sz w:val="28"/>
                <w:szCs w:val="28"/>
              </w:rPr>
              <w:t>6</w:t>
            </w:r>
          </w:p>
        </w:tc>
        <w:tc>
          <w:tcPr>
            <w:tcW w:w="10482" w:type="dxa"/>
            <w:noWrap w:val="0"/>
            <w:vAlign w:val="center"/>
          </w:tcPr>
          <w:p w14:paraId="2E6BB79B">
            <w:pPr>
              <w:spacing w:line="360" w:lineRule="exact"/>
              <w:jc w:val="left"/>
              <w:rPr>
                <w:rFonts w:hint="eastAsia" w:ascii="Times New Roman" w:hAnsi="Times New Roman" w:eastAsia="楷体"/>
                <w:color w:val="000000"/>
                <w:sz w:val="24"/>
              </w:rPr>
            </w:pPr>
            <w:r>
              <w:rPr>
                <w:rFonts w:ascii="Times New Roman" w:hAnsi="Times New Roman" w:eastAsia="楷体"/>
                <w:color w:val="000000"/>
                <w:sz w:val="24"/>
              </w:rPr>
              <w:t>落实国家工作人员旁听庭审制度，组织网上集中观看或是现场集中旁听庭审，年内不少于1次</w:t>
            </w:r>
            <w:r>
              <w:rPr>
                <w:rFonts w:hint="eastAsia" w:ascii="Times New Roman" w:hAnsi="Times New Roman" w:eastAsia="楷体"/>
                <w:color w:val="000000"/>
                <w:sz w:val="24"/>
              </w:rPr>
              <w:t>。</w:t>
            </w:r>
          </w:p>
        </w:tc>
        <w:tc>
          <w:tcPr>
            <w:tcW w:w="2261" w:type="dxa"/>
            <w:noWrap w:val="0"/>
            <w:vAlign w:val="center"/>
          </w:tcPr>
          <w:p w14:paraId="3A1189C5">
            <w:pPr>
              <w:spacing w:line="360" w:lineRule="exact"/>
              <w:jc w:val="center"/>
              <w:rPr>
                <w:rFonts w:ascii="Times New Roman" w:hAnsi="Times New Roman" w:eastAsia="楷体"/>
                <w:color w:val="000000"/>
                <w:sz w:val="24"/>
              </w:rPr>
            </w:pPr>
            <w:r>
              <w:rPr>
                <w:rFonts w:ascii="Times New Roman" w:hAnsi="Times New Roman" w:eastAsia="楷体"/>
                <w:color w:val="000000"/>
                <w:sz w:val="24"/>
              </w:rPr>
              <w:t>法规处</w:t>
            </w:r>
          </w:p>
        </w:tc>
      </w:tr>
      <w:tr w14:paraId="7A250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975" w:type="dxa"/>
            <w:vMerge w:val="continue"/>
            <w:noWrap w:val="0"/>
            <w:vAlign w:val="center"/>
          </w:tcPr>
          <w:p w14:paraId="46B39A07">
            <w:pPr>
              <w:spacing w:line="360" w:lineRule="exact"/>
              <w:jc w:val="center"/>
              <w:rPr>
                <w:rFonts w:ascii="Times New Roman" w:hAnsi="Times New Roman" w:eastAsia="楷体"/>
                <w:sz w:val="32"/>
                <w:szCs w:val="32"/>
              </w:rPr>
            </w:pPr>
          </w:p>
        </w:tc>
        <w:tc>
          <w:tcPr>
            <w:tcW w:w="720" w:type="dxa"/>
            <w:noWrap w:val="0"/>
            <w:vAlign w:val="center"/>
          </w:tcPr>
          <w:p w14:paraId="4C27C147">
            <w:pPr>
              <w:jc w:val="center"/>
              <w:rPr>
                <w:rFonts w:ascii="Times New Roman" w:hAnsi="Times New Roman" w:eastAsia="仿宋_GB2312"/>
                <w:sz w:val="28"/>
                <w:szCs w:val="28"/>
              </w:rPr>
            </w:pPr>
            <w:r>
              <w:rPr>
                <w:rFonts w:ascii="Times New Roman" w:hAnsi="Times New Roman" w:eastAsia="仿宋_GB2312"/>
                <w:sz w:val="28"/>
                <w:szCs w:val="28"/>
              </w:rPr>
              <w:t>7</w:t>
            </w:r>
          </w:p>
        </w:tc>
        <w:tc>
          <w:tcPr>
            <w:tcW w:w="10482" w:type="dxa"/>
            <w:noWrap w:val="0"/>
            <w:vAlign w:val="center"/>
          </w:tcPr>
          <w:p w14:paraId="62C05282">
            <w:pPr>
              <w:spacing w:line="360" w:lineRule="exact"/>
              <w:jc w:val="left"/>
              <w:rPr>
                <w:rFonts w:hint="eastAsia" w:ascii="Times New Roman" w:hAnsi="Times New Roman" w:eastAsia="楷体"/>
                <w:color w:val="000000"/>
                <w:sz w:val="24"/>
              </w:rPr>
            </w:pPr>
            <w:r>
              <w:rPr>
                <w:rFonts w:ascii="Times New Roman" w:hAnsi="Times New Roman" w:eastAsia="楷体"/>
                <w:color w:val="000000"/>
                <w:sz w:val="24"/>
              </w:rPr>
              <w:t>在厅门户网站、自办刊物、官方微博、微信公众号开辟法治宣传专栏（专题）。设置“以案释法”栏目，定期发布普法宣传内容和“以案释法”案例，年内报送不少于3个典型案例进入省案例库</w:t>
            </w:r>
            <w:r>
              <w:rPr>
                <w:rFonts w:hint="eastAsia" w:ascii="Times New Roman" w:hAnsi="Times New Roman" w:eastAsia="楷体"/>
                <w:color w:val="000000"/>
                <w:sz w:val="24"/>
              </w:rPr>
              <w:t>。</w:t>
            </w:r>
          </w:p>
        </w:tc>
        <w:tc>
          <w:tcPr>
            <w:tcW w:w="2261" w:type="dxa"/>
            <w:noWrap w:val="0"/>
            <w:vAlign w:val="center"/>
          </w:tcPr>
          <w:p w14:paraId="7985F334">
            <w:pPr>
              <w:spacing w:line="360" w:lineRule="exact"/>
              <w:jc w:val="center"/>
              <w:rPr>
                <w:rFonts w:ascii="Times New Roman" w:hAnsi="Times New Roman" w:eastAsia="楷体"/>
                <w:color w:val="000000"/>
                <w:sz w:val="24"/>
              </w:rPr>
            </w:pPr>
            <w:r>
              <w:rPr>
                <w:rFonts w:ascii="Times New Roman" w:hAnsi="Times New Roman" w:eastAsia="楷体"/>
                <w:color w:val="000000"/>
                <w:sz w:val="24"/>
              </w:rPr>
              <w:t>法规处、厅机关各处室局</w:t>
            </w:r>
          </w:p>
        </w:tc>
      </w:tr>
      <w:tr w14:paraId="1D9BC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975" w:type="dxa"/>
            <w:vMerge w:val="continue"/>
            <w:noWrap w:val="0"/>
            <w:vAlign w:val="center"/>
          </w:tcPr>
          <w:p w14:paraId="6C46EBA2">
            <w:pPr>
              <w:jc w:val="center"/>
              <w:rPr>
                <w:rFonts w:ascii="Times New Roman" w:hAnsi="Times New Roman" w:eastAsia="楷体"/>
                <w:sz w:val="32"/>
                <w:szCs w:val="32"/>
              </w:rPr>
            </w:pPr>
          </w:p>
        </w:tc>
        <w:tc>
          <w:tcPr>
            <w:tcW w:w="720" w:type="dxa"/>
            <w:noWrap w:val="0"/>
            <w:vAlign w:val="center"/>
          </w:tcPr>
          <w:p w14:paraId="169968E1">
            <w:pPr>
              <w:jc w:val="center"/>
              <w:rPr>
                <w:rFonts w:ascii="Times New Roman" w:hAnsi="Times New Roman" w:eastAsia="仿宋_GB2312"/>
                <w:sz w:val="28"/>
                <w:szCs w:val="28"/>
              </w:rPr>
            </w:pPr>
            <w:r>
              <w:rPr>
                <w:rFonts w:ascii="Times New Roman" w:hAnsi="Times New Roman" w:eastAsia="仿宋_GB2312"/>
                <w:sz w:val="28"/>
                <w:szCs w:val="28"/>
              </w:rPr>
              <w:t>8</w:t>
            </w:r>
          </w:p>
        </w:tc>
        <w:tc>
          <w:tcPr>
            <w:tcW w:w="10482" w:type="dxa"/>
            <w:noWrap w:val="0"/>
            <w:vAlign w:val="center"/>
          </w:tcPr>
          <w:p w14:paraId="49F54D4D">
            <w:pPr>
              <w:spacing w:line="360" w:lineRule="exact"/>
              <w:jc w:val="left"/>
              <w:rPr>
                <w:rFonts w:hint="eastAsia" w:ascii="Times New Roman" w:hAnsi="Times New Roman" w:eastAsia="楷体"/>
                <w:color w:val="000000"/>
                <w:sz w:val="24"/>
              </w:rPr>
            </w:pPr>
            <w:r>
              <w:rPr>
                <w:rFonts w:ascii="Times New Roman" w:hAnsi="Times New Roman" w:eastAsia="楷体"/>
                <w:color w:val="000000"/>
                <w:sz w:val="24"/>
              </w:rPr>
              <w:t>加强对本单位乡村振兴联系单位的指导，有针对性</w:t>
            </w:r>
            <w:r>
              <w:rPr>
                <w:rFonts w:hint="eastAsia" w:ascii="Times New Roman" w:hAnsi="Times New Roman" w:eastAsia="楷体"/>
                <w:color w:val="000000"/>
                <w:sz w:val="24"/>
              </w:rPr>
              <w:t>地</w:t>
            </w:r>
            <w:r>
              <w:rPr>
                <w:rFonts w:ascii="Times New Roman" w:hAnsi="Times New Roman" w:eastAsia="楷体"/>
                <w:color w:val="000000"/>
                <w:sz w:val="24"/>
              </w:rPr>
              <w:t>宣传普及本部门与群众生产生活和乡村治理密切相关的法律法规，年内开展送法下乡活动不少于1次</w:t>
            </w:r>
            <w:r>
              <w:rPr>
                <w:rFonts w:hint="eastAsia" w:ascii="Times New Roman" w:hAnsi="Times New Roman" w:eastAsia="楷体"/>
                <w:color w:val="000000"/>
                <w:sz w:val="24"/>
              </w:rPr>
              <w:t>。</w:t>
            </w:r>
          </w:p>
        </w:tc>
        <w:tc>
          <w:tcPr>
            <w:tcW w:w="2261" w:type="dxa"/>
            <w:noWrap w:val="0"/>
            <w:vAlign w:val="center"/>
          </w:tcPr>
          <w:p w14:paraId="5909AB43">
            <w:pPr>
              <w:spacing w:line="360" w:lineRule="exact"/>
              <w:jc w:val="center"/>
              <w:rPr>
                <w:rFonts w:ascii="Times New Roman" w:hAnsi="Times New Roman" w:eastAsia="楷体"/>
                <w:color w:val="000000"/>
                <w:sz w:val="24"/>
              </w:rPr>
            </w:pPr>
            <w:r>
              <w:rPr>
                <w:rFonts w:ascii="Times New Roman" w:hAnsi="Times New Roman" w:eastAsia="楷体"/>
                <w:color w:val="000000"/>
                <w:sz w:val="24"/>
              </w:rPr>
              <w:t>综合</w:t>
            </w:r>
            <w:r>
              <w:rPr>
                <w:rFonts w:hint="eastAsia" w:ascii="Times New Roman" w:hAnsi="Times New Roman" w:eastAsia="楷体"/>
                <w:color w:val="000000"/>
                <w:sz w:val="24"/>
              </w:rPr>
              <w:t>规划</w:t>
            </w:r>
            <w:r>
              <w:rPr>
                <w:rFonts w:ascii="Times New Roman" w:hAnsi="Times New Roman" w:eastAsia="楷体"/>
                <w:color w:val="000000"/>
                <w:sz w:val="24"/>
              </w:rPr>
              <w:t>处、办公室</w:t>
            </w:r>
          </w:p>
        </w:tc>
      </w:tr>
      <w:tr w14:paraId="49BE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75" w:type="dxa"/>
            <w:vMerge w:val="continue"/>
            <w:noWrap w:val="0"/>
            <w:vAlign w:val="center"/>
          </w:tcPr>
          <w:p w14:paraId="0C995042">
            <w:pPr>
              <w:spacing w:line="360" w:lineRule="exact"/>
              <w:jc w:val="center"/>
              <w:rPr>
                <w:rFonts w:ascii="Times New Roman" w:hAnsi="Times New Roman" w:eastAsia="楷体"/>
                <w:sz w:val="32"/>
                <w:szCs w:val="32"/>
              </w:rPr>
            </w:pPr>
          </w:p>
        </w:tc>
        <w:tc>
          <w:tcPr>
            <w:tcW w:w="720" w:type="dxa"/>
            <w:noWrap w:val="0"/>
            <w:vAlign w:val="center"/>
          </w:tcPr>
          <w:p w14:paraId="20BCCC0E">
            <w:pPr>
              <w:jc w:val="center"/>
              <w:rPr>
                <w:rFonts w:ascii="Times New Roman" w:hAnsi="Times New Roman" w:eastAsia="仿宋_GB2312"/>
                <w:sz w:val="28"/>
                <w:szCs w:val="28"/>
              </w:rPr>
            </w:pPr>
            <w:r>
              <w:rPr>
                <w:rFonts w:ascii="Times New Roman" w:hAnsi="Times New Roman" w:eastAsia="仿宋_GB2312"/>
                <w:sz w:val="28"/>
                <w:szCs w:val="28"/>
              </w:rPr>
              <w:t>9</w:t>
            </w:r>
          </w:p>
        </w:tc>
        <w:tc>
          <w:tcPr>
            <w:tcW w:w="10482" w:type="dxa"/>
            <w:noWrap w:val="0"/>
            <w:vAlign w:val="center"/>
          </w:tcPr>
          <w:p w14:paraId="7DBE344C">
            <w:pPr>
              <w:spacing w:line="360" w:lineRule="exact"/>
              <w:jc w:val="left"/>
              <w:rPr>
                <w:rFonts w:hint="eastAsia" w:ascii="Times New Roman" w:hAnsi="Times New Roman" w:eastAsia="楷体"/>
                <w:color w:val="000000"/>
                <w:sz w:val="24"/>
              </w:rPr>
            </w:pPr>
            <w:r>
              <w:rPr>
                <w:rFonts w:ascii="Times New Roman" w:hAnsi="Times New Roman" w:eastAsia="楷体"/>
                <w:color w:val="000000"/>
                <w:sz w:val="24"/>
              </w:rPr>
              <w:t>认真贯彻落实全省“八五”普法规划和《湖南省法治政府建设实施方案（2021-2025年）》</w:t>
            </w:r>
            <w:r>
              <w:rPr>
                <w:rFonts w:hint="eastAsia" w:ascii="Times New Roman" w:hAnsi="Times New Roman" w:eastAsia="楷体"/>
                <w:color w:val="000000"/>
                <w:sz w:val="24"/>
              </w:rPr>
              <w:t>。</w:t>
            </w:r>
          </w:p>
        </w:tc>
        <w:tc>
          <w:tcPr>
            <w:tcW w:w="2261" w:type="dxa"/>
            <w:noWrap w:val="0"/>
            <w:vAlign w:val="center"/>
          </w:tcPr>
          <w:p w14:paraId="4B235990">
            <w:pPr>
              <w:spacing w:line="360" w:lineRule="exact"/>
              <w:jc w:val="center"/>
              <w:rPr>
                <w:rFonts w:ascii="Times New Roman" w:hAnsi="Times New Roman" w:eastAsia="楷体"/>
                <w:sz w:val="32"/>
                <w:szCs w:val="32"/>
              </w:rPr>
            </w:pPr>
            <w:r>
              <w:rPr>
                <w:rFonts w:ascii="Times New Roman" w:hAnsi="Times New Roman" w:eastAsia="楷体"/>
                <w:color w:val="000000"/>
                <w:sz w:val="24"/>
              </w:rPr>
              <w:t>法规处、厅机关各处室局</w:t>
            </w:r>
          </w:p>
        </w:tc>
      </w:tr>
      <w:tr w14:paraId="6F83A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75" w:type="dxa"/>
            <w:vMerge w:val="restart"/>
            <w:noWrap w:val="0"/>
            <w:vAlign w:val="center"/>
          </w:tcPr>
          <w:p w14:paraId="4F6C12FC">
            <w:pPr>
              <w:jc w:val="center"/>
              <w:rPr>
                <w:rFonts w:ascii="Times New Roman" w:hAnsi="Times New Roman" w:eastAsia="楷体"/>
                <w:sz w:val="32"/>
                <w:szCs w:val="32"/>
              </w:rPr>
            </w:pPr>
            <w:r>
              <w:rPr>
                <w:rFonts w:ascii="Times New Roman" w:hAnsi="Times New Roman" w:eastAsia="楷体"/>
                <w:sz w:val="32"/>
                <w:szCs w:val="32"/>
              </w:rPr>
              <w:t>专</w:t>
            </w:r>
          </w:p>
          <w:p w14:paraId="141B69D9">
            <w:pPr>
              <w:jc w:val="center"/>
              <w:rPr>
                <w:rFonts w:ascii="Times New Roman" w:hAnsi="Times New Roman" w:eastAsia="楷体"/>
                <w:sz w:val="32"/>
                <w:szCs w:val="32"/>
              </w:rPr>
            </w:pPr>
            <w:r>
              <w:rPr>
                <w:rFonts w:ascii="Times New Roman" w:hAnsi="Times New Roman" w:eastAsia="楷体"/>
                <w:sz w:val="32"/>
                <w:szCs w:val="32"/>
              </w:rPr>
              <w:t>项</w:t>
            </w:r>
          </w:p>
          <w:p w14:paraId="2826A8F0">
            <w:pPr>
              <w:jc w:val="center"/>
              <w:rPr>
                <w:rFonts w:ascii="Times New Roman" w:hAnsi="Times New Roman" w:eastAsia="楷体"/>
                <w:sz w:val="32"/>
                <w:szCs w:val="32"/>
              </w:rPr>
            </w:pPr>
            <w:r>
              <w:rPr>
                <w:rFonts w:ascii="Times New Roman" w:hAnsi="Times New Roman" w:eastAsia="楷体"/>
                <w:sz w:val="32"/>
                <w:szCs w:val="32"/>
              </w:rPr>
              <w:t>指</w:t>
            </w:r>
          </w:p>
          <w:p w14:paraId="431398C1">
            <w:pPr>
              <w:jc w:val="center"/>
              <w:rPr>
                <w:rFonts w:ascii="Times New Roman" w:hAnsi="Times New Roman" w:eastAsia="楷体"/>
                <w:sz w:val="32"/>
                <w:szCs w:val="32"/>
              </w:rPr>
            </w:pPr>
            <w:r>
              <w:rPr>
                <w:rFonts w:ascii="Times New Roman" w:hAnsi="Times New Roman" w:eastAsia="楷体"/>
                <w:sz w:val="32"/>
                <w:szCs w:val="32"/>
              </w:rPr>
              <w:t>标</w:t>
            </w:r>
          </w:p>
        </w:tc>
        <w:tc>
          <w:tcPr>
            <w:tcW w:w="720" w:type="dxa"/>
            <w:noWrap w:val="0"/>
            <w:vAlign w:val="center"/>
          </w:tcPr>
          <w:p w14:paraId="49515367">
            <w:pPr>
              <w:jc w:val="center"/>
              <w:rPr>
                <w:rFonts w:ascii="Times New Roman" w:hAnsi="Times New Roman" w:eastAsia="仿宋_GB2312"/>
                <w:sz w:val="28"/>
                <w:szCs w:val="28"/>
              </w:rPr>
            </w:pPr>
            <w:r>
              <w:rPr>
                <w:rFonts w:ascii="Times New Roman" w:hAnsi="Times New Roman" w:eastAsia="仿宋_GB2312"/>
                <w:sz w:val="28"/>
                <w:szCs w:val="28"/>
              </w:rPr>
              <w:t>1</w:t>
            </w:r>
          </w:p>
        </w:tc>
        <w:tc>
          <w:tcPr>
            <w:tcW w:w="10482" w:type="dxa"/>
            <w:noWrap w:val="0"/>
            <w:vAlign w:val="center"/>
          </w:tcPr>
          <w:p w14:paraId="6F832FBA">
            <w:pPr>
              <w:rPr>
                <w:rFonts w:hint="eastAsia" w:ascii="Times New Roman" w:hAnsi="Times New Roman" w:eastAsia="楷体"/>
                <w:sz w:val="24"/>
              </w:rPr>
            </w:pPr>
            <w:r>
              <w:rPr>
                <w:rFonts w:ascii="Times New Roman" w:hAnsi="Times New Roman" w:eastAsia="楷体"/>
                <w:color w:val="000000"/>
                <w:sz w:val="24"/>
              </w:rPr>
              <w:t>编印《湖南省自然资源法规手册（202</w:t>
            </w:r>
            <w:r>
              <w:rPr>
                <w:rFonts w:hint="eastAsia" w:ascii="Times New Roman" w:hAnsi="Times New Roman" w:eastAsia="楷体"/>
                <w:color w:val="000000"/>
                <w:sz w:val="24"/>
                <w:lang w:val="en-US" w:eastAsia="zh-CN"/>
              </w:rPr>
              <w:t>3</w:t>
            </w:r>
            <w:r>
              <w:rPr>
                <w:rFonts w:ascii="Times New Roman" w:hAnsi="Times New Roman" w:eastAsia="楷体"/>
                <w:color w:val="000000"/>
                <w:sz w:val="24"/>
              </w:rPr>
              <w:t>年）》</w:t>
            </w:r>
            <w:r>
              <w:rPr>
                <w:rFonts w:hint="eastAsia" w:ascii="Times New Roman" w:hAnsi="Times New Roman" w:eastAsia="楷体"/>
                <w:color w:val="000000"/>
                <w:sz w:val="24"/>
              </w:rPr>
              <w:t>，并向全省系统发放。</w:t>
            </w:r>
          </w:p>
        </w:tc>
        <w:tc>
          <w:tcPr>
            <w:tcW w:w="2261" w:type="dxa"/>
            <w:noWrap w:val="0"/>
            <w:vAlign w:val="center"/>
          </w:tcPr>
          <w:p w14:paraId="5B83FBD6">
            <w:pPr>
              <w:jc w:val="center"/>
              <w:rPr>
                <w:rFonts w:ascii="Times New Roman" w:hAnsi="Times New Roman" w:eastAsia="楷体"/>
                <w:color w:val="000000"/>
                <w:sz w:val="24"/>
              </w:rPr>
            </w:pPr>
            <w:r>
              <w:rPr>
                <w:rFonts w:ascii="Times New Roman" w:hAnsi="Times New Roman" w:eastAsia="楷体"/>
                <w:color w:val="000000"/>
                <w:sz w:val="24"/>
              </w:rPr>
              <w:t>法规处</w:t>
            </w:r>
          </w:p>
        </w:tc>
      </w:tr>
      <w:tr w14:paraId="436D0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75" w:type="dxa"/>
            <w:vMerge w:val="continue"/>
            <w:noWrap w:val="0"/>
            <w:vAlign w:val="center"/>
          </w:tcPr>
          <w:p w14:paraId="3991A471">
            <w:pPr>
              <w:jc w:val="center"/>
              <w:rPr>
                <w:rFonts w:ascii="Times New Roman" w:hAnsi="Times New Roman" w:eastAsia="楷体"/>
                <w:sz w:val="32"/>
                <w:szCs w:val="32"/>
              </w:rPr>
            </w:pPr>
          </w:p>
        </w:tc>
        <w:tc>
          <w:tcPr>
            <w:tcW w:w="720" w:type="dxa"/>
            <w:noWrap w:val="0"/>
            <w:vAlign w:val="center"/>
          </w:tcPr>
          <w:p w14:paraId="7774F01A">
            <w:pPr>
              <w:jc w:val="center"/>
              <w:rPr>
                <w:rFonts w:hint="eastAsia" w:ascii="Times New Roman" w:hAnsi="Times New Roman" w:eastAsia="仿宋_GB2312"/>
                <w:sz w:val="28"/>
                <w:szCs w:val="28"/>
              </w:rPr>
            </w:pPr>
            <w:r>
              <w:rPr>
                <w:rFonts w:hint="eastAsia" w:ascii="Times New Roman" w:hAnsi="Times New Roman" w:eastAsia="仿宋_GB2312"/>
                <w:sz w:val="28"/>
                <w:szCs w:val="28"/>
              </w:rPr>
              <w:t>2</w:t>
            </w:r>
          </w:p>
        </w:tc>
        <w:tc>
          <w:tcPr>
            <w:tcW w:w="10482" w:type="dxa"/>
            <w:noWrap w:val="0"/>
            <w:vAlign w:val="center"/>
          </w:tcPr>
          <w:p w14:paraId="1B4C5923">
            <w:pPr>
              <w:rPr>
                <w:rFonts w:hint="eastAsia" w:ascii="Times New Roman" w:hAnsi="Times New Roman" w:eastAsia="楷体"/>
                <w:color w:val="000000"/>
                <w:sz w:val="24"/>
              </w:rPr>
            </w:pPr>
            <w:r>
              <w:rPr>
                <w:rFonts w:hint="eastAsia" w:ascii="Times New Roman" w:hAnsi="Times New Roman" w:eastAsia="楷体"/>
                <w:color w:val="000000"/>
                <w:sz w:val="24"/>
                <w:lang w:eastAsia="zh-CN"/>
              </w:rPr>
              <w:t>组织自然资源法治大讲堂活动（行政复议法、矿产资源法、湖南省测绘地理信息条例等解读）</w:t>
            </w:r>
            <w:r>
              <w:rPr>
                <w:rFonts w:hint="eastAsia" w:ascii="Times New Roman" w:hAnsi="Times New Roman" w:eastAsia="楷体"/>
                <w:color w:val="000000"/>
                <w:sz w:val="24"/>
              </w:rPr>
              <w:t>。</w:t>
            </w:r>
          </w:p>
        </w:tc>
        <w:tc>
          <w:tcPr>
            <w:tcW w:w="2261" w:type="dxa"/>
            <w:noWrap w:val="0"/>
            <w:vAlign w:val="center"/>
          </w:tcPr>
          <w:p w14:paraId="68FA48A5">
            <w:pPr>
              <w:jc w:val="center"/>
              <w:rPr>
                <w:rFonts w:hint="eastAsia" w:ascii="Times New Roman" w:hAnsi="Times New Roman" w:eastAsia="楷体"/>
                <w:color w:val="000000"/>
                <w:sz w:val="24"/>
                <w:lang w:eastAsia="zh-CN"/>
              </w:rPr>
            </w:pPr>
            <w:r>
              <w:rPr>
                <w:rFonts w:ascii="Times New Roman" w:hAnsi="Times New Roman" w:eastAsia="楷体"/>
                <w:color w:val="000000"/>
                <w:sz w:val="24"/>
              </w:rPr>
              <w:t>法规处</w:t>
            </w:r>
            <w:r>
              <w:rPr>
                <w:rFonts w:hint="eastAsia" w:ascii="Times New Roman" w:hAnsi="Times New Roman" w:eastAsia="楷体"/>
                <w:color w:val="000000"/>
                <w:sz w:val="24"/>
                <w:lang w:eastAsia="zh-CN"/>
              </w:rPr>
              <w:t>、矿业权处、测绘处、地理信息处</w:t>
            </w:r>
          </w:p>
        </w:tc>
      </w:tr>
      <w:tr w14:paraId="09A6F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75" w:type="dxa"/>
            <w:vMerge w:val="continue"/>
            <w:noWrap w:val="0"/>
            <w:vAlign w:val="top"/>
          </w:tcPr>
          <w:p w14:paraId="7C643467">
            <w:pPr>
              <w:jc w:val="center"/>
              <w:rPr>
                <w:rFonts w:ascii="Times New Roman" w:hAnsi="Times New Roman" w:eastAsia="仿宋_GB2312"/>
                <w:sz w:val="32"/>
                <w:szCs w:val="32"/>
              </w:rPr>
            </w:pPr>
          </w:p>
        </w:tc>
        <w:tc>
          <w:tcPr>
            <w:tcW w:w="720" w:type="dxa"/>
            <w:noWrap w:val="0"/>
            <w:vAlign w:val="center"/>
          </w:tcPr>
          <w:p w14:paraId="16070C4B">
            <w:pPr>
              <w:jc w:val="center"/>
              <w:rPr>
                <w:rFonts w:ascii="Times New Roman" w:hAnsi="Times New Roman" w:eastAsia="仿宋_GB2312"/>
                <w:sz w:val="28"/>
                <w:szCs w:val="28"/>
              </w:rPr>
            </w:pPr>
            <w:r>
              <w:rPr>
                <w:rFonts w:ascii="Times New Roman" w:hAnsi="Times New Roman" w:eastAsia="仿宋_GB2312"/>
                <w:sz w:val="28"/>
                <w:szCs w:val="28"/>
              </w:rPr>
              <w:t>3</w:t>
            </w:r>
          </w:p>
        </w:tc>
        <w:tc>
          <w:tcPr>
            <w:tcW w:w="10482" w:type="dxa"/>
            <w:noWrap w:val="0"/>
            <w:vAlign w:val="center"/>
          </w:tcPr>
          <w:p w14:paraId="4558F982">
            <w:pPr>
              <w:spacing w:line="280" w:lineRule="exact"/>
              <w:rPr>
                <w:rFonts w:hint="eastAsia" w:ascii="Times New Roman" w:hAnsi="Times New Roman" w:eastAsia="楷体"/>
                <w:sz w:val="24"/>
              </w:rPr>
            </w:pPr>
            <w:r>
              <w:rPr>
                <w:rFonts w:hint="eastAsia" w:ascii="Times New Roman" w:hAnsi="Times New Roman" w:eastAsia="楷体"/>
                <w:sz w:val="24"/>
                <w:lang w:eastAsia="zh-CN"/>
              </w:rPr>
              <w:t>开展自然资源专题案例评析（湘中片区）活动</w:t>
            </w:r>
            <w:r>
              <w:rPr>
                <w:rFonts w:hint="eastAsia" w:ascii="Times New Roman" w:hAnsi="Times New Roman" w:eastAsia="楷体"/>
                <w:sz w:val="24"/>
              </w:rPr>
              <w:t>。</w:t>
            </w:r>
          </w:p>
        </w:tc>
        <w:tc>
          <w:tcPr>
            <w:tcW w:w="2261" w:type="dxa"/>
            <w:noWrap w:val="0"/>
            <w:vAlign w:val="center"/>
          </w:tcPr>
          <w:p w14:paraId="29437503">
            <w:pPr>
              <w:jc w:val="center"/>
              <w:rPr>
                <w:rFonts w:hint="eastAsia" w:ascii="Times New Roman" w:hAnsi="Times New Roman" w:eastAsia="楷体"/>
                <w:color w:val="000000"/>
                <w:sz w:val="24"/>
                <w:lang w:eastAsia="zh-CN"/>
              </w:rPr>
            </w:pPr>
            <w:r>
              <w:rPr>
                <w:rFonts w:hint="eastAsia" w:ascii="Times New Roman" w:hAnsi="Times New Roman" w:eastAsia="楷体"/>
                <w:color w:val="000000"/>
                <w:sz w:val="24"/>
                <w:lang w:eastAsia="zh-CN"/>
              </w:rPr>
              <w:t>法规</w:t>
            </w:r>
            <w:r>
              <w:rPr>
                <w:rFonts w:ascii="Times New Roman" w:hAnsi="Times New Roman" w:eastAsia="楷体"/>
                <w:color w:val="000000"/>
                <w:sz w:val="24"/>
              </w:rPr>
              <w:t>处、</w:t>
            </w:r>
            <w:r>
              <w:rPr>
                <w:rFonts w:hint="eastAsia" w:ascii="Times New Roman" w:hAnsi="Times New Roman" w:eastAsia="楷体"/>
                <w:color w:val="000000"/>
                <w:sz w:val="24"/>
                <w:lang w:eastAsia="zh-CN"/>
              </w:rPr>
              <w:t>政务服务处</w:t>
            </w:r>
          </w:p>
        </w:tc>
      </w:tr>
      <w:tr w14:paraId="571BD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975" w:type="dxa"/>
            <w:vMerge w:val="continue"/>
            <w:noWrap w:val="0"/>
            <w:vAlign w:val="top"/>
          </w:tcPr>
          <w:p w14:paraId="26ACA457">
            <w:pPr>
              <w:jc w:val="center"/>
              <w:rPr>
                <w:rFonts w:ascii="Times New Roman" w:hAnsi="Times New Roman" w:eastAsia="仿宋_GB2312"/>
                <w:sz w:val="32"/>
                <w:szCs w:val="32"/>
              </w:rPr>
            </w:pPr>
          </w:p>
        </w:tc>
        <w:tc>
          <w:tcPr>
            <w:tcW w:w="720" w:type="dxa"/>
            <w:noWrap w:val="0"/>
            <w:vAlign w:val="center"/>
          </w:tcPr>
          <w:p w14:paraId="2C22EA57">
            <w:pPr>
              <w:jc w:val="center"/>
              <w:rPr>
                <w:rFonts w:ascii="Times New Roman" w:hAnsi="Times New Roman" w:eastAsia="仿宋_GB2312"/>
                <w:sz w:val="28"/>
                <w:szCs w:val="28"/>
              </w:rPr>
            </w:pPr>
            <w:r>
              <w:rPr>
                <w:rFonts w:ascii="Times New Roman" w:hAnsi="Times New Roman" w:eastAsia="仿宋_GB2312"/>
                <w:sz w:val="28"/>
                <w:szCs w:val="28"/>
              </w:rPr>
              <w:t>4</w:t>
            </w:r>
          </w:p>
        </w:tc>
        <w:tc>
          <w:tcPr>
            <w:tcW w:w="10482" w:type="dxa"/>
            <w:noWrap w:val="0"/>
            <w:vAlign w:val="center"/>
          </w:tcPr>
          <w:p w14:paraId="7690069B">
            <w:pPr>
              <w:spacing w:line="280" w:lineRule="exact"/>
              <w:rPr>
                <w:rFonts w:hint="eastAsia" w:ascii="Times New Roman" w:hAnsi="Times New Roman" w:eastAsia="楷体"/>
                <w:sz w:val="24"/>
              </w:rPr>
            </w:pPr>
            <w:r>
              <w:rPr>
                <w:rFonts w:ascii="Times New Roman" w:hAnsi="Times New Roman" w:eastAsia="楷体"/>
                <w:color w:val="000000"/>
                <w:sz w:val="24"/>
              </w:rPr>
              <w:t>利用“4·22”地球日、“6·25”土地日、“8·29”测绘日等重要时间节点开展集中普法宣传活动，学习宣传宪法和自然资源相关法律法规，提升系统干部职工及人民群众的法治意识，为法治自然资源建设营造良好氛围</w:t>
            </w:r>
            <w:r>
              <w:rPr>
                <w:rFonts w:hint="eastAsia" w:ascii="Times New Roman" w:hAnsi="Times New Roman" w:eastAsia="楷体"/>
                <w:color w:val="000000"/>
                <w:sz w:val="24"/>
              </w:rPr>
              <w:t>。</w:t>
            </w:r>
          </w:p>
        </w:tc>
        <w:tc>
          <w:tcPr>
            <w:tcW w:w="2261" w:type="dxa"/>
            <w:noWrap w:val="0"/>
            <w:vAlign w:val="center"/>
          </w:tcPr>
          <w:p w14:paraId="5E9E7115">
            <w:pPr>
              <w:jc w:val="center"/>
              <w:rPr>
                <w:rFonts w:ascii="Times New Roman" w:hAnsi="Times New Roman" w:eastAsia="楷体"/>
                <w:color w:val="000000"/>
                <w:sz w:val="24"/>
              </w:rPr>
            </w:pPr>
            <w:r>
              <w:rPr>
                <w:rFonts w:ascii="Times New Roman" w:hAnsi="Times New Roman" w:eastAsia="楷体"/>
                <w:color w:val="000000"/>
                <w:sz w:val="24"/>
              </w:rPr>
              <w:t>办公室、厅机关相关处室局</w:t>
            </w:r>
          </w:p>
        </w:tc>
      </w:tr>
      <w:tr w14:paraId="2E101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75" w:type="dxa"/>
            <w:vMerge w:val="continue"/>
            <w:noWrap w:val="0"/>
            <w:vAlign w:val="top"/>
          </w:tcPr>
          <w:p w14:paraId="24F7853D">
            <w:pPr>
              <w:jc w:val="center"/>
              <w:rPr>
                <w:rFonts w:ascii="Times New Roman" w:hAnsi="Times New Roman" w:eastAsia="仿宋_GB2312"/>
                <w:sz w:val="32"/>
                <w:szCs w:val="32"/>
              </w:rPr>
            </w:pPr>
          </w:p>
        </w:tc>
        <w:tc>
          <w:tcPr>
            <w:tcW w:w="720" w:type="dxa"/>
            <w:noWrap w:val="0"/>
            <w:vAlign w:val="center"/>
          </w:tcPr>
          <w:p w14:paraId="545E0A1A">
            <w:pPr>
              <w:jc w:val="center"/>
              <w:rPr>
                <w:rFonts w:ascii="Times New Roman" w:hAnsi="Times New Roman" w:eastAsia="仿宋_GB2312"/>
                <w:sz w:val="28"/>
                <w:szCs w:val="28"/>
              </w:rPr>
            </w:pPr>
            <w:r>
              <w:rPr>
                <w:rFonts w:ascii="Times New Roman" w:hAnsi="Times New Roman" w:eastAsia="仿宋_GB2312"/>
                <w:sz w:val="28"/>
                <w:szCs w:val="28"/>
              </w:rPr>
              <w:t>5</w:t>
            </w:r>
          </w:p>
        </w:tc>
        <w:tc>
          <w:tcPr>
            <w:tcW w:w="10482" w:type="dxa"/>
            <w:noWrap w:val="0"/>
            <w:vAlign w:val="center"/>
          </w:tcPr>
          <w:p w14:paraId="475926A5">
            <w:pPr>
              <w:spacing w:line="280" w:lineRule="exact"/>
              <w:rPr>
                <w:rFonts w:ascii="Times New Roman" w:hAnsi="Times New Roman" w:eastAsia="楷体"/>
                <w:sz w:val="24"/>
              </w:rPr>
            </w:pPr>
            <w:r>
              <w:rPr>
                <w:rFonts w:ascii="Times New Roman" w:hAnsi="Times New Roman" w:eastAsia="楷体"/>
                <w:color w:val="000000"/>
                <w:sz w:val="24"/>
              </w:rPr>
              <w:t>组织开展防灾减灾</w:t>
            </w:r>
            <w:r>
              <w:rPr>
                <w:rFonts w:hint="eastAsia" w:ascii="Times New Roman" w:hAnsi="Times New Roman" w:eastAsia="楷体"/>
                <w:color w:val="000000"/>
                <w:sz w:val="24"/>
              </w:rPr>
              <w:t>和安全生产</w:t>
            </w:r>
            <w:r>
              <w:rPr>
                <w:rFonts w:ascii="Times New Roman" w:hAnsi="Times New Roman" w:eastAsia="楷体"/>
                <w:color w:val="000000"/>
                <w:sz w:val="24"/>
              </w:rPr>
              <w:t>宣传活动，4-12 月在全省系统开展防灾减灾</w:t>
            </w:r>
            <w:r>
              <w:rPr>
                <w:rFonts w:hint="eastAsia" w:ascii="Times New Roman" w:hAnsi="Times New Roman" w:eastAsia="楷体"/>
                <w:color w:val="000000"/>
                <w:sz w:val="24"/>
              </w:rPr>
              <w:t>和安全生产</w:t>
            </w:r>
            <w:r>
              <w:rPr>
                <w:rFonts w:ascii="Times New Roman" w:hAnsi="Times New Roman" w:eastAsia="楷体"/>
                <w:color w:val="000000"/>
                <w:sz w:val="24"/>
              </w:rPr>
              <w:t>宣传，提升系统干部职工及社会群众防灾减灾</w:t>
            </w:r>
            <w:r>
              <w:rPr>
                <w:rFonts w:hint="eastAsia" w:ascii="Times New Roman" w:hAnsi="Times New Roman" w:eastAsia="楷体"/>
                <w:color w:val="000000"/>
                <w:sz w:val="24"/>
              </w:rPr>
              <w:t>和安全保护</w:t>
            </w:r>
            <w:r>
              <w:rPr>
                <w:rFonts w:ascii="Times New Roman" w:hAnsi="Times New Roman" w:eastAsia="楷体"/>
                <w:color w:val="000000"/>
                <w:sz w:val="24"/>
              </w:rPr>
              <w:t>能力，正确处理地质灾害</w:t>
            </w:r>
            <w:r>
              <w:rPr>
                <w:rFonts w:hint="eastAsia" w:ascii="Times New Roman" w:hAnsi="Times New Roman" w:eastAsia="楷体"/>
                <w:color w:val="000000"/>
                <w:sz w:val="24"/>
              </w:rPr>
              <w:t>，提高安全意识。</w:t>
            </w:r>
          </w:p>
        </w:tc>
        <w:tc>
          <w:tcPr>
            <w:tcW w:w="2261" w:type="dxa"/>
            <w:noWrap w:val="0"/>
            <w:vAlign w:val="center"/>
          </w:tcPr>
          <w:p w14:paraId="2C2D1F4F">
            <w:pPr>
              <w:jc w:val="center"/>
              <w:rPr>
                <w:rFonts w:hint="eastAsia" w:ascii="Times New Roman" w:hAnsi="Times New Roman" w:eastAsia="楷体"/>
                <w:color w:val="000000"/>
                <w:sz w:val="24"/>
              </w:rPr>
            </w:pPr>
            <w:r>
              <w:rPr>
                <w:rFonts w:ascii="Times New Roman" w:hAnsi="Times New Roman" w:eastAsia="楷体"/>
                <w:color w:val="000000"/>
                <w:sz w:val="24"/>
              </w:rPr>
              <w:t>地勘处</w:t>
            </w:r>
            <w:r>
              <w:rPr>
                <w:rFonts w:hint="eastAsia" w:ascii="Times New Roman" w:hAnsi="Times New Roman" w:eastAsia="楷体"/>
                <w:color w:val="000000"/>
                <w:sz w:val="24"/>
              </w:rPr>
              <w:t>、矿业权处</w:t>
            </w:r>
          </w:p>
        </w:tc>
      </w:tr>
      <w:tr w14:paraId="32BA1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75" w:type="dxa"/>
            <w:vMerge w:val="continue"/>
            <w:noWrap w:val="0"/>
            <w:vAlign w:val="top"/>
          </w:tcPr>
          <w:p w14:paraId="0280ACEC">
            <w:pPr>
              <w:jc w:val="center"/>
              <w:rPr>
                <w:rFonts w:hint="eastAsia" w:ascii="Times New Roman" w:hAnsi="Times New Roman" w:eastAsia="仿宋_GB2312"/>
                <w:sz w:val="32"/>
                <w:szCs w:val="32"/>
              </w:rPr>
            </w:pPr>
            <w:r>
              <w:rPr>
                <w:rFonts w:hint="eastAsia" w:ascii="Times New Roman" w:hAnsi="Times New Roman" w:eastAsia="仿宋_GB2312"/>
                <w:sz w:val="32"/>
                <w:szCs w:val="32"/>
              </w:rPr>
              <w:t>、</w:t>
            </w:r>
          </w:p>
        </w:tc>
        <w:tc>
          <w:tcPr>
            <w:tcW w:w="720" w:type="dxa"/>
            <w:noWrap w:val="0"/>
            <w:vAlign w:val="center"/>
          </w:tcPr>
          <w:p w14:paraId="526A07C6">
            <w:pPr>
              <w:jc w:val="center"/>
              <w:rPr>
                <w:rFonts w:hint="eastAsia" w:ascii="Times New Roman" w:hAnsi="Times New Roman" w:eastAsia="仿宋_GB2312"/>
                <w:sz w:val="28"/>
                <w:szCs w:val="28"/>
              </w:rPr>
            </w:pPr>
            <w:r>
              <w:rPr>
                <w:rFonts w:hint="eastAsia" w:ascii="Times New Roman" w:hAnsi="Times New Roman" w:eastAsia="仿宋_GB2312"/>
                <w:sz w:val="28"/>
                <w:szCs w:val="28"/>
              </w:rPr>
              <w:t>6</w:t>
            </w:r>
          </w:p>
        </w:tc>
        <w:tc>
          <w:tcPr>
            <w:tcW w:w="10482" w:type="dxa"/>
            <w:noWrap w:val="0"/>
            <w:vAlign w:val="center"/>
          </w:tcPr>
          <w:p w14:paraId="6FC38A21">
            <w:pPr>
              <w:spacing w:line="280" w:lineRule="exact"/>
              <w:rPr>
                <w:rFonts w:ascii="Times New Roman" w:hAnsi="Times New Roman" w:eastAsia="楷体"/>
                <w:color w:val="000000"/>
                <w:sz w:val="24"/>
              </w:rPr>
            </w:pPr>
            <w:r>
              <w:rPr>
                <w:rFonts w:hint="eastAsia" w:ascii="Times New Roman" w:hAnsi="Times New Roman" w:eastAsia="楷体"/>
                <w:color w:val="000000"/>
                <w:sz w:val="24"/>
              </w:rPr>
              <w:t>组织厅直系统青年干部开展“业务</w:t>
            </w:r>
            <w:r>
              <w:rPr>
                <w:rFonts w:hint="eastAsia" w:ascii="Times New Roman" w:hAnsi="Times New Roman" w:eastAsia="楷体"/>
                <w:color w:val="000000"/>
                <w:sz w:val="24"/>
                <w:lang w:eastAsia="zh-CN"/>
              </w:rPr>
              <w:t>大讲堂</w:t>
            </w:r>
            <w:r>
              <w:rPr>
                <w:rFonts w:hint="eastAsia" w:ascii="Times New Roman" w:hAnsi="Times New Roman" w:eastAsia="楷体"/>
                <w:color w:val="000000"/>
                <w:sz w:val="24"/>
              </w:rPr>
              <w:t>”活动。</w:t>
            </w:r>
          </w:p>
        </w:tc>
        <w:tc>
          <w:tcPr>
            <w:tcW w:w="2261" w:type="dxa"/>
            <w:noWrap w:val="0"/>
            <w:vAlign w:val="center"/>
          </w:tcPr>
          <w:p w14:paraId="0AC1ADBF">
            <w:pPr>
              <w:jc w:val="center"/>
              <w:rPr>
                <w:rFonts w:hint="eastAsia" w:ascii="Times New Roman" w:hAnsi="Times New Roman" w:eastAsia="楷体"/>
                <w:color w:val="000000"/>
                <w:sz w:val="24"/>
              </w:rPr>
            </w:pPr>
            <w:r>
              <w:rPr>
                <w:rFonts w:hint="eastAsia" w:ascii="Times New Roman" w:hAnsi="Times New Roman" w:eastAsia="楷体"/>
                <w:color w:val="000000"/>
                <w:sz w:val="24"/>
              </w:rPr>
              <w:t>人事处</w:t>
            </w:r>
          </w:p>
        </w:tc>
      </w:tr>
    </w:tbl>
    <w:p w14:paraId="000BC970"/>
    <w:p w14:paraId="5366B8E8"/>
    <w:sectPr>
      <w:pgSz w:w="16838" w:h="11906" w:orient="landscape"/>
      <w:pgMar w:top="1803" w:right="1440" w:bottom="1803" w:left="1440"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FFDE2A"/>
    <w:rsid w:val="3A1C582A"/>
    <w:rsid w:val="BFFFDE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318</Words>
  <Characters>333</Characters>
  <Lines>0</Lines>
  <Paragraphs>0</Paragraphs>
  <TotalTime>7</TotalTime>
  <ScaleCrop>false</ScaleCrop>
  <LinksUpToDate>false</LinksUpToDate>
  <CharactersWithSpaces>381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2025-12-10T08:56:00Z</dcterms:created>
  <dc:creator>kylin</dc:creator>
  <cp:lastModifiedBy>liangl8816</cp:lastModifiedBy>
  <dcterms:modified xsi:type="dcterms:W3CDTF">2025-12-10T07:20:15Z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2A379C7145D04D87A4127A9460E4DF04_13</vt:lpwstr>
  </property>
</Properties>
</file>