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left="254" w:leftChars="121"/>
        <w:rPr>
          <w:rFonts w:hint="eastAsia" w:ascii="仿宋_GB2312" w:eastAsia="仿宋_GB2312"/>
          <w:color w:val="000000"/>
          <w:sz w:val="32"/>
          <w:szCs w:val="32"/>
        </w:rPr>
      </w:pPr>
      <w:r>
        <w:rPr>
          <w:rFonts w:hint="eastAsia" w:ascii="仿宋_GB2312" w:eastAsia="仿宋_GB2312"/>
          <w:color w:val="000000"/>
          <w:sz w:val="32"/>
          <w:szCs w:val="32"/>
        </w:rPr>
        <w:t>附件1：</w:t>
      </w:r>
    </w:p>
    <w:p>
      <w:pPr>
        <w:spacing w:line="640" w:lineRule="exact"/>
        <w:ind w:left="254" w:leftChars="121"/>
        <w:jc w:val="center"/>
        <w:rPr>
          <w:rFonts w:hint="eastAsia" w:ascii="方正小标宋简体" w:hAnsi="华文中宋" w:eastAsia="方正小标宋简体"/>
          <w:b/>
          <w:color w:val="000000"/>
          <w:sz w:val="44"/>
          <w:szCs w:val="44"/>
          <w:highlight w:val="yellow"/>
        </w:rPr>
      </w:pPr>
      <w:r>
        <w:rPr>
          <w:rFonts w:hint="eastAsia" w:ascii="方正小标宋简体" w:hAnsi="华文中宋" w:eastAsia="方正小标宋简体"/>
          <w:b/>
          <w:color w:val="000000"/>
          <w:sz w:val="44"/>
          <w:szCs w:val="44"/>
        </w:rPr>
        <w:t>项目库首批入库项目技术要求</w:t>
      </w:r>
    </w:p>
    <w:p>
      <w:pPr>
        <w:spacing w:line="640" w:lineRule="exact"/>
        <w:ind w:left="254" w:leftChars="121"/>
        <w:rPr>
          <w:rFonts w:hint="eastAsia" w:ascii="黑体" w:eastAsia="黑体"/>
          <w:b/>
          <w:color w:val="000000"/>
          <w:sz w:val="32"/>
          <w:szCs w:val="32"/>
        </w:rPr>
      </w:pPr>
      <w:r>
        <w:rPr>
          <w:rFonts w:hint="eastAsia" w:ascii="仿宋_GB2312" w:eastAsia="仿宋_GB2312"/>
          <w:b/>
          <w:color w:val="000000"/>
          <w:sz w:val="32"/>
          <w:szCs w:val="32"/>
        </w:rPr>
        <w:t xml:space="preserve">   </w:t>
      </w:r>
      <w:r>
        <w:rPr>
          <w:rFonts w:hint="eastAsia" w:ascii="黑体" w:eastAsia="黑体"/>
          <w:b/>
          <w:color w:val="000000"/>
          <w:sz w:val="32"/>
          <w:szCs w:val="32"/>
        </w:rPr>
        <w:t xml:space="preserve"> 一、建设标准</w:t>
      </w:r>
    </w:p>
    <w:p>
      <w:pPr>
        <w:spacing w:line="640" w:lineRule="exact"/>
        <w:ind w:left="254" w:leftChars="121"/>
        <w:rPr>
          <w:rFonts w:hint="eastAsia" w:ascii="仿宋_GB2312" w:eastAsia="仿宋_GB2312"/>
          <w:color w:val="000000"/>
          <w:sz w:val="32"/>
          <w:szCs w:val="32"/>
        </w:rPr>
      </w:pPr>
      <w:r>
        <w:rPr>
          <w:rFonts w:hint="eastAsia" w:ascii="仿宋_GB2312" w:eastAsia="仿宋_GB2312"/>
          <w:color w:val="000000"/>
          <w:sz w:val="32"/>
          <w:szCs w:val="32"/>
        </w:rPr>
        <w:t xml:space="preserve">    以国家和省颁布的工程设计规范进行工程布局，工程设计标准严格按湖南省《高标准农田建设》（DB43/T 876)执行。《高标准农田建设》（DB43/T 876)中未进行规定的，按照《湖南省农村土地整治项目建设标准》执行。</w:t>
      </w:r>
    </w:p>
    <w:p>
      <w:pPr>
        <w:spacing w:line="640" w:lineRule="exact"/>
        <w:ind w:left="254" w:leftChars="121"/>
        <w:rPr>
          <w:rFonts w:hint="eastAsia" w:ascii="仿宋_GB2312" w:eastAsia="仿宋_GB2312"/>
          <w:b/>
          <w:color w:val="000000"/>
          <w:sz w:val="32"/>
          <w:szCs w:val="32"/>
        </w:rPr>
      </w:pPr>
      <w:r>
        <w:rPr>
          <w:rFonts w:hint="eastAsia" w:ascii="仿宋_GB2312" w:eastAsia="仿宋_GB2312"/>
          <w:b/>
          <w:color w:val="000000"/>
          <w:sz w:val="32"/>
          <w:szCs w:val="32"/>
        </w:rPr>
        <w:t xml:space="preserve">   </w:t>
      </w:r>
      <w:r>
        <w:rPr>
          <w:rFonts w:hint="eastAsia" w:ascii="黑体" w:eastAsia="黑体"/>
          <w:b/>
          <w:color w:val="000000"/>
          <w:sz w:val="32"/>
          <w:szCs w:val="32"/>
        </w:rPr>
        <w:t xml:space="preserve"> 二、项目概算依据和要求</w:t>
      </w:r>
    </w:p>
    <w:p>
      <w:pPr>
        <w:spacing w:line="640" w:lineRule="exact"/>
        <w:ind w:left="254" w:leftChars="121" w:firstLine="645"/>
        <w:rPr>
          <w:rFonts w:hint="eastAsia" w:ascii="仿宋_GB2312" w:eastAsia="仿宋_GB2312"/>
          <w:color w:val="000000"/>
          <w:sz w:val="32"/>
          <w:szCs w:val="32"/>
        </w:rPr>
      </w:pPr>
      <w:r>
        <w:rPr>
          <w:rFonts w:hint="eastAsia" w:ascii="仿宋_GB2312" w:eastAsia="仿宋_GB2312"/>
          <w:color w:val="000000"/>
          <w:sz w:val="32"/>
          <w:szCs w:val="32"/>
        </w:rPr>
        <w:t>项目概算按《湖南省土地开发整理项目预算补充定额标准（试行）》（湘财建〔2014〕22号）执行。</w:t>
      </w:r>
    </w:p>
    <w:p>
      <w:pPr>
        <w:spacing w:line="640" w:lineRule="exact"/>
        <w:ind w:left="254" w:leftChars="121" w:firstLine="645"/>
        <w:rPr>
          <w:rFonts w:hint="eastAsia" w:ascii="仿宋_GB2312" w:eastAsia="仿宋_GB2312"/>
          <w:color w:val="000000"/>
          <w:sz w:val="32"/>
          <w:szCs w:val="32"/>
        </w:rPr>
      </w:pPr>
      <w:r>
        <w:rPr>
          <w:rFonts w:hint="eastAsia" w:ascii="仿宋_GB2312" w:eastAsia="仿宋_GB2312"/>
          <w:color w:val="000000"/>
          <w:sz w:val="32"/>
          <w:szCs w:val="32"/>
        </w:rPr>
        <w:t>项目亩均投资应控制在1500元以内（不含土地平整资金）。</w:t>
      </w:r>
    </w:p>
    <w:p>
      <w:pPr>
        <w:spacing w:line="640" w:lineRule="exact"/>
        <w:ind w:left="254" w:leftChars="121"/>
        <w:rPr>
          <w:rFonts w:hint="eastAsia" w:ascii="仿宋_GB2312" w:eastAsia="仿宋_GB2312"/>
          <w:b/>
          <w:color w:val="000000"/>
          <w:sz w:val="32"/>
          <w:szCs w:val="32"/>
        </w:rPr>
      </w:pPr>
      <w:r>
        <w:rPr>
          <w:rFonts w:hint="eastAsia" w:ascii="仿宋_GB2312" w:eastAsia="仿宋_GB2312"/>
          <w:color w:val="000000"/>
          <w:sz w:val="32"/>
          <w:szCs w:val="32"/>
        </w:rPr>
        <w:t xml:space="preserve">  </w:t>
      </w:r>
      <w:r>
        <w:rPr>
          <w:rFonts w:hint="eastAsia" w:ascii="黑体" w:eastAsia="黑体"/>
          <w:b/>
          <w:color w:val="000000"/>
          <w:sz w:val="32"/>
          <w:szCs w:val="32"/>
        </w:rPr>
        <w:t xml:space="preserve">  三、选址要求</w:t>
      </w:r>
    </w:p>
    <w:p>
      <w:pPr>
        <w:spacing w:line="640" w:lineRule="exact"/>
        <w:ind w:left="254" w:leftChars="121" w:firstLine="636"/>
        <w:rPr>
          <w:rFonts w:hint="eastAsia" w:ascii="仿宋_GB2312" w:eastAsia="仿宋_GB2312"/>
          <w:bCs/>
          <w:sz w:val="32"/>
          <w:szCs w:val="32"/>
        </w:rPr>
      </w:pPr>
      <w:r>
        <w:rPr>
          <w:rFonts w:hint="eastAsia" w:ascii="仿宋_GB2312" w:eastAsia="仿宋_GB2312"/>
          <w:bCs/>
          <w:sz w:val="32"/>
          <w:szCs w:val="32"/>
        </w:rPr>
        <w:t>项目库首批入库项目选址在满足项目管理有关规定的同时，还需满足以下要求：</w:t>
      </w:r>
    </w:p>
    <w:p>
      <w:pPr>
        <w:spacing w:line="640" w:lineRule="exact"/>
        <w:ind w:left="254" w:leftChars="121" w:firstLine="636"/>
        <w:rPr>
          <w:rFonts w:hint="eastAsia" w:ascii="仿宋_GB2312" w:eastAsia="仿宋_GB2312"/>
          <w:bCs/>
          <w:sz w:val="32"/>
          <w:szCs w:val="32"/>
        </w:rPr>
      </w:pPr>
      <w:r>
        <w:rPr>
          <w:rFonts w:hint="eastAsia" w:ascii="仿宋_GB2312" w:eastAsia="仿宋_GB2312"/>
          <w:bCs/>
          <w:sz w:val="32"/>
          <w:szCs w:val="32"/>
        </w:rPr>
        <w:t>（一）项目区必须整村推进（单个村或相邻的多个村），不得人为分片。项目建设规模原则上不低于2000亩，不超过4000亩（单个村耕地面积超过4000亩的除外）。</w:t>
      </w:r>
    </w:p>
    <w:p>
      <w:pPr>
        <w:spacing w:line="640" w:lineRule="exact"/>
        <w:ind w:left="254" w:leftChars="121" w:firstLine="636"/>
        <w:rPr>
          <w:rFonts w:hint="eastAsia" w:ascii="仿宋_GB2312" w:eastAsia="仿宋_GB2312"/>
          <w:color w:val="000000"/>
          <w:sz w:val="32"/>
          <w:szCs w:val="32"/>
        </w:rPr>
      </w:pPr>
      <w:r>
        <w:rPr>
          <w:rFonts w:hint="eastAsia" w:ascii="仿宋_GB2312" w:eastAsia="仿宋_GB2312"/>
          <w:color w:val="000000"/>
          <w:sz w:val="32"/>
          <w:szCs w:val="32"/>
        </w:rPr>
        <w:t>（二）在娄邵盆地基本农田建设重大工程范围内的各县市区安排项目时，拟定项目区必须位于建设方案确定的实施范围内，并与以往年度项目连片。在环洞庭湖基本农田建设重大工程（第一期）范围内的县市区安排项目时，应注重与环洞庭湖基本农田建设重大工程已实施片块衔接。</w:t>
      </w:r>
    </w:p>
    <w:p>
      <w:pPr>
        <w:spacing w:line="640" w:lineRule="exact"/>
        <w:ind w:left="254" w:leftChars="121" w:firstLine="636"/>
        <w:rPr>
          <w:rFonts w:hint="eastAsia" w:ascii="仿宋_GB2312" w:eastAsia="仿宋_GB2312"/>
          <w:color w:val="000000"/>
          <w:sz w:val="32"/>
          <w:szCs w:val="32"/>
        </w:rPr>
      </w:pPr>
      <w:r>
        <w:rPr>
          <w:rFonts w:hint="eastAsia" w:ascii="仿宋_GB2312" w:eastAsia="仿宋_GB2312"/>
          <w:color w:val="000000"/>
          <w:sz w:val="32"/>
          <w:szCs w:val="32"/>
        </w:rPr>
        <w:t>（三）项目申报应与其他涉农部门规划相衔接，对已纳入其他涉农部门规划区及已实施了新增粮食产能田间工程、基本烟田土地整治等涉农工程的区域不得重复安排项目。</w:t>
      </w:r>
    </w:p>
    <w:p>
      <w:pPr>
        <w:spacing w:line="640" w:lineRule="exact"/>
        <w:ind w:left="254" w:leftChars="121"/>
        <w:rPr>
          <w:rFonts w:hint="eastAsia" w:ascii="仿宋_GB2312" w:eastAsia="仿宋_GB2312"/>
          <w:color w:val="000000"/>
          <w:sz w:val="32"/>
          <w:szCs w:val="32"/>
        </w:rPr>
      </w:pPr>
      <w:r>
        <w:rPr>
          <w:rFonts w:hint="eastAsia" w:ascii="仿宋_GB2312" w:eastAsia="仿宋_GB2312"/>
          <w:b/>
          <w:color w:val="000000"/>
          <w:sz w:val="32"/>
          <w:szCs w:val="32"/>
        </w:rPr>
        <w:t xml:space="preserve">    </w:t>
      </w:r>
      <w:r>
        <w:rPr>
          <w:rFonts w:hint="eastAsia" w:ascii="黑体" w:eastAsia="黑体"/>
          <w:b/>
          <w:color w:val="000000"/>
          <w:sz w:val="32"/>
          <w:szCs w:val="32"/>
        </w:rPr>
        <w:t>四、工程建设要求</w:t>
      </w:r>
    </w:p>
    <w:p>
      <w:pPr>
        <w:spacing w:line="640" w:lineRule="exact"/>
        <w:ind w:left="254" w:leftChars="121"/>
        <w:rPr>
          <w:rFonts w:hint="eastAsia" w:ascii="仿宋_GB2312" w:eastAsia="仿宋_GB2312"/>
          <w:bCs/>
          <w:color w:val="000000"/>
          <w:sz w:val="32"/>
          <w:szCs w:val="32"/>
        </w:rPr>
      </w:pPr>
      <w:r>
        <w:rPr>
          <w:rFonts w:hint="eastAsia" w:ascii="仿宋_GB2312" w:eastAsia="仿宋_GB2312"/>
          <w:color w:val="000000"/>
          <w:sz w:val="32"/>
          <w:szCs w:val="32"/>
        </w:rPr>
        <w:t xml:space="preserve">    科学安排各类工程，重点布设改善项目区农业生产条件的骨干工程，</w:t>
      </w:r>
      <w:r>
        <w:rPr>
          <w:rFonts w:hint="eastAsia" w:ascii="仿宋_GB2312" w:eastAsia="仿宋_GB2312"/>
          <w:bCs/>
          <w:color w:val="000000"/>
          <w:sz w:val="32"/>
          <w:szCs w:val="32"/>
        </w:rPr>
        <w:t>完善小型农田水利工程和田间道路工程综合体系。应充分考虑项目区的整体性，不得以逐级拆分概算指标的方式进行项目设计。</w:t>
      </w:r>
    </w:p>
    <w:p>
      <w:pPr>
        <w:spacing w:line="640" w:lineRule="exact"/>
        <w:ind w:left="254" w:leftChars="121"/>
        <w:rPr>
          <w:rFonts w:hint="eastAsia" w:ascii="楷体_GB2312" w:eastAsia="楷体_GB2312"/>
          <w:b/>
          <w:bCs/>
          <w:color w:val="000000"/>
          <w:sz w:val="32"/>
          <w:szCs w:val="32"/>
        </w:rPr>
      </w:pPr>
      <w:r>
        <w:rPr>
          <w:rFonts w:hint="eastAsia" w:ascii="仿宋_GB2312" w:eastAsia="仿宋_GB2312"/>
          <w:bCs/>
          <w:color w:val="000000"/>
          <w:sz w:val="32"/>
          <w:szCs w:val="32"/>
        </w:rPr>
        <w:t xml:space="preserve">  </w:t>
      </w:r>
      <w:r>
        <w:rPr>
          <w:rFonts w:hint="eastAsia" w:ascii="楷体_GB2312" w:eastAsia="楷体_GB2312"/>
          <w:bCs/>
          <w:color w:val="000000"/>
          <w:sz w:val="32"/>
          <w:szCs w:val="32"/>
        </w:rPr>
        <w:t xml:space="preserve"> </w:t>
      </w:r>
      <w:r>
        <w:rPr>
          <w:rFonts w:hint="eastAsia" w:ascii="楷体_GB2312" w:eastAsia="楷体_GB2312"/>
          <w:b/>
          <w:bCs/>
          <w:color w:val="000000"/>
          <w:sz w:val="32"/>
          <w:szCs w:val="32"/>
        </w:rPr>
        <w:t xml:space="preserve"> （一）土地平整工程</w:t>
      </w:r>
    </w:p>
    <w:p>
      <w:pPr>
        <w:spacing w:line="640" w:lineRule="exact"/>
        <w:ind w:left="254" w:leftChars="121" w:firstLine="640" w:firstLineChars="200"/>
        <w:rPr>
          <w:rFonts w:hint="eastAsia" w:ascii="仿宋_GB2312" w:eastAsia="仿宋_GB2312"/>
          <w:color w:val="000000"/>
          <w:sz w:val="32"/>
          <w:szCs w:val="32"/>
        </w:rPr>
      </w:pPr>
      <w:r>
        <w:rPr>
          <w:rFonts w:hint="eastAsia" w:ascii="仿宋_GB2312" w:eastAsia="仿宋_GB2312"/>
          <w:color w:val="000000"/>
          <w:sz w:val="32"/>
          <w:szCs w:val="32"/>
        </w:rPr>
        <w:t>项目区内符合土地平整技术要求的区域可布设土地平整工程。土地平整区（含新增耕地平整区）的土地平整工程资金单列。</w:t>
      </w:r>
    </w:p>
    <w:p>
      <w:pPr>
        <w:spacing w:line="640" w:lineRule="exact"/>
        <w:ind w:left="254" w:leftChars="121" w:firstLine="640" w:firstLineChars="200"/>
        <w:rPr>
          <w:rFonts w:hint="eastAsia" w:ascii="仿宋_GB2312" w:eastAsia="仿宋_GB2312"/>
          <w:bCs/>
          <w:color w:val="000000"/>
          <w:sz w:val="32"/>
          <w:szCs w:val="32"/>
        </w:rPr>
      </w:pPr>
      <w:r>
        <w:rPr>
          <w:rFonts w:hint="eastAsia" w:ascii="仿宋_GB2312" w:eastAsia="仿宋_GB2312"/>
          <w:color w:val="000000"/>
          <w:sz w:val="32"/>
          <w:szCs w:val="32"/>
        </w:rPr>
        <w:t>土地平整工程布设须因地制宜，所选土地平整区（含新增耕地平整区）应相对集中连片，土层厚度超过60厘米，相邻田块高差在30至50厘米之内。需远距离外运客土的不得布设土地平整工程（与表土剥离工程结合的除外），非新增耕地区不得布设单纯的土地翻耕和田坎修筑。</w:t>
      </w:r>
    </w:p>
    <w:p>
      <w:pPr>
        <w:spacing w:line="640" w:lineRule="exact"/>
        <w:ind w:left="254" w:leftChars="121" w:firstLine="645"/>
        <w:rPr>
          <w:rFonts w:hint="eastAsia" w:ascii="楷体_GB2312" w:eastAsia="楷体_GB2312"/>
          <w:b/>
          <w:color w:val="000000"/>
          <w:sz w:val="32"/>
          <w:szCs w:val="32"/>
        </w:rPr>
      </w:pPr>
      <w:r>
        <w:rPr>
          <w:rFonts w:hint="eastAsia" w:ascii="仿宋_GB2312" w:eastAsia="仿宋_GB2312"/>
          <w:color w:val="000000"/>
          <w:sz w:val="32"/>
          <w:szCs w:val="32"/>
        </w:rPr>
        <w:t xml:space="preserve">需布设土地平整工程的项目，应由项目所在地县市区国土资源局出具申请报告，说明所选土地平整区域现状条件，布设理由等，并附具土地平整区域所涉及乡镇、村组及土地权益人同意实施土地平整工程的意见和设计单位意见。  </w:t>
      </w:r>
      <w:r>
        <w:rPr>
          <w:rFonts w:hint="eastAsia" w:ascii="楷体_GB2312" w:eastAsia="楷体_GB2312"/>
          <w:b/>
          <w:color w:val="000000"/>
          <w:sz w:val="32"/>
          <w:szCs w:val="32"/>
        </w:rPr>
        <w:t xml:space="preserve">  </w:t>
      </w:r>
    </w:p>
    <w:p>
      <w:pPr>
        <w:spacing w:line="640" w:lineRule="exact"/>
        <w:ind w:left="254" w:leftChars="121" w:firstLine="645"/>
        <w:rPr>
          <w:rFonts w:hint="eastAsia" w:ascii="仿宋_GB2312" w:eastAsia="仿宋_GB2312"/>
          <w:color w:val="000000"/>
          <w:sz w:val="32"/>
          <w:szCs w:val="32"/>
        </w:rPr>
      </w:pPr>
      <w:r>
        <w:rPr>
          <w:rFonts w:hint="eastAsia" w:ascii="楷体_GB2312" w:eastAsia="楷体_GB2312"/>
          <w:b/>
          <w:color w:val="000000"/>
          <w:sz w:val="32"/>
          <w:szCs w:val="32"/>
        </w:rPr>
        <w:t>（二）</w:t>
      </w:r>
      <w:r>
        <w:rPr>
          <w:rFonts w:hint="eastAsia" w:ascii="楷体_GB2312" w:eastAsia="楷体_GB2312"/>
          <w:b/>
          <w:bCs/>
          <w:color w:val="000000"/>
          <w:sz w:val="32"/>
          <w:szCs w:val="32"/>
        </w:rPr>
        <w:t>禁止布设的工程</w:t>
      </w:r>
    </w:p>
    <w:p>
      <w:pPr>
        <w:spacing w:line="640" w:lineRule="exact"/>
        <w:ind w:left="254" w:leftChars="121" w:firstLine="636"/>
        <w:rPr>
          <w:rFonts w:hint="eastAsia" w:ascii="仿宋_GB2312" w:eastAsia="仿宋_GB2312"/>
          <w:b/>
          <w:bCs/>
          <w:color w:val="000000"/>
          <w:sz w:val="32"/>
          <w:szCs w:val="32"/>
        </w:rPr>
      </w:pPr>
      <w:r>
        <w:rPr>
          <w:rFonts w:hint="eastAsia" w:ascii="仿宋_GB2312" w:eastAsia="仿宋_GB2312"/>
          <w:color w:val="000000"/>
          <w:sz w:val="32"/>
          <w:szCs w:val="32"/>
        </w:rPr>
        <w:t>1．禁止</w:t>
      </w:r>
      <w:r>
        <w:rPr>
          <w:rFonts w:ascii="仿宋_GB2312" w:eastAsia="仿宋_GB2312"/>
          <w:color w:val="000000"/>
          <w:sz w:val="32"/>
          <w:szCs w:val="32"/>
        </w:rPr>
        <w:t>在已实施了农业综合开发、小农水工程等涉农工程上布设</w:t>
      </w:r>
      <w:r>
        <w:rPr>
          <w:rFonts w:hint="eastAsia" w:ascii="仿宋_GB2312" w:eastAsia="仿宋_GB2312"/>
          <w:color w:val="000000"/>
          <w:sz w:val="32"/>
          <w:szCs w:val="32"/>
        </w:rPr>
        <w:t>整修</w:t>
      </w:r>
      <w:r>
        <w:rPr>
          <w:rFonts w:ascii="仿宋_GB2312" w:eastAsia="仿宋_GB2312"/>
          <w:color w:val="000000"/>
          <w:sz w:val="32"/>
          <w:szCs w:val="32"/>
        </w:rPr>
        <w:t>工程</w:t>
      </w:r>
      <w:r>
        <w:rPr>
          <w:rFonts w:hint="eastAsia" w:ascii="仿宋_GB2312" w:eastAsia="仿宋_GB2312"/>
          <w:color w:val="000000"/>
          <w:sz w:val="32"/>
          <w:szCs w:val="32"/>
        </w:rPr>
        <w:t>。</w:t>
      </w:r>
    </w:p>
    <w:p>
      <w:pPr>
        <w:spacing w:line="640" w:lineRule="exact"/>
        <w:ind w:left="254" w:leftChars="121"/>
        <w:rPr>
          <w:rFonts w:hint="eastAsia" w:ascii="仿宋_GB2312" w:eastAsia="仿宋_GB2312"/>
          <w:color w:val="000000"/>
          <w:sz w:val="32"/>
          <w:szCs w:val="32"/>
        </w:rPr>
      </w:pPr>
      <w:r>
        <w:rPr>
          <w:rFonts w:hint="eastAsia" w:ascii="仿宋_GB2312" w:eastAsia="仿宋_GB2312"/>
          <w:color w:val="000000"/>
          <w:sz w:val="32"/>
          <w:szCs w:val="32"/>
        </w:rPr>
        <w:t xml:space="preserve">    2．田间道路工程。原则上路面不得硬化。如确需布设硬化道路，应用于解决田间交通运输条件并与周边交通条件相匹配。工程所需投资应由项目所在村组自筹资金和省投资资金按1:1比例配套。</w:t>
      </w:r>
    </w:p>
    <w:p>
      <w:pPr>
        <w:spacing w:line="640" w:lineRule="exact"/>
        <w:ind w:left="254" w:leftChars="121"/>
        <w:rPr>
          <w:rFonts w:hint="eastAsia" w:ascii="仿宋_GB2312" w:eastAsia="仿宋_GB2312"/>
          <w:color w:val="000000"/>
          <w:sz w:val="32"/>
          <w:szCs w:val="32"/>
        </w:rPr>
      </w:pPr>
      <w:r>
        <w:rPr>
          <w:rFonts w:hint="eastAsia" w:ascii="仿宋_GB2312" w:eastAsia="仿宋_GB2312"/>
          <w:color w:val="000000"/>
          <w:sz w:val="32"/>
          <w:szCs w:val="32"/>
        </w:rPr>
        <w:t xml:space="preserve">    3．原则上禁止在水利部门认定为河流、湖泊的水域布设防洪堤、河堤工程。</w:t>
      </w:r>
    </w:p>
    <w:p>
      <w:pPr>
        <w:spacing w:line="640" w:lineRule="exact"/>
        <w:ind w:left="254" w:leftChars="121"/>
        <w:rPr>
          <w:rFonts w:hint="eastAsia" w:ascii="仿宋_GB2312" w:eastAsia="仿宋_GB2312"/>
          <w:color w:val="000000"/>
          <w:sz w:val="32"/>
          <w:szCs w:val="32"/>
        </w:rPr>
      </w:pPr>
      <w:r>
        <w:rPr>
          <w:rFonts w:hint="eastAsia" w:ascii="仿宋_GB2312" w:eastAsia="仿宋_GB2312"/>
          <w:color w:val="000000"/>
          <w:sz w:val="32"/>
          <w:szCs w:val="32"/>
        </w:rPr>
        <w:t xml:space="preserve">    4．原则上田间灌排设施不得布设毛渠、毛沟和大型渠系建筑物。</w:t>
      </w:r>
    </w:p>
    <w:p>
      <w:pPr>
        <w:spacing w:line="640" w:lineRule="exact"/>
        <w:ind w:left="254" w:leftChars="121"/>
        <w:rPr>
          <w:rFonts w:hint="eastAsia" w:ascii="仿宋_GB2312" w:eastAsia="仿宋_GB2312"/>
          <w:color w:val="000000"/>
          <w:sz w:val="32"/>
          <w:szCs w:val="32"/>
        </w:rPr>
      </w:pPr>
      <w:r>
        <w:rPr>
          <w:rFonts w:hint="eastAsia" w:ascii="仿宋_GB2312" w:eastAsia="仿宋_GB2312"/>
          <w:color w:val="000000"/>
          <w:sz w:val="32"/>
          <w:szCs w:val="32"/>
        </w:rPr>
        <w:t xml:space="preserve">    5．对项目区田块没有灌溉作用，或蓄水量超过5万立方米的水塘，不得纳入建设内容。</w:t>
      </w:r>
    </w:p>
    <w:p>
      <w:pPr>
        <w:spacing w:line="640" w:lineRule="exact"/>
        <w:ind w:left="254" w:leftChars="121"/>
        <w:rPr>
          <w:rFonts w:hint="eastAsia" w:ascii="仿宋_GB2312" w:eastAsia="仿宋_GB2312"/>
          <w:color w:val="000000"/>
          <w:sz w:val="32"/>
          <w:szCs w:val="32"/>
        </w:rPr>
      </w:pPr>
      <w:r>
        <w:rPr>
          <w:rFonts w:hint="eastAsia" w:ascii="仿宋_GB2312" w:eastAsia="仿宋_GB2312"/>
          <w:color w:val="000000"/>
          <w:sz w:val="32"/>
          <w:szCs w:val="32"/>
        </w:rPr>
        <w:t xml:space="preserve">    6．总长度超过15m，坝高超过3m的小型拦河坝，不得纳入建设范围。</w:t>
      </w:r>
    </w:p>
    <w:p>
      <w:pPr>
        <w:spacing w:line="640" w:lineRule="exact"/>
        <w:ind w:left="254" w:leftChars="121"/>
        <w:rPr>
          <w:rFonts w:hint="eastAsia" w:ascii="仿宋_GB2312" w:eastAsia="仿宋_GB2312"/>
          <w:color w:val="000000"/>
          <w:sz w:val="32"/>
          <w:szCs w:val="32"/>
        </w:rPr>
      </w:pPr>
      <w:r>
        <w:rPr>
          <w:rFonts w:hint="eastAsia" w:ascii="仿宋_GB2312" w:eastAsia="仿宋_GB2312"/>
          <w:color w:val="000000"/>
          <w:sz w:val="32"/>
          <w:szCs w:val="32"/>
        </w:rPr>
        <w:t xml:space="preserve">    7．机耕桥总长度超过10m、单跨超过5m，人行桥总长度超过20m、</w:t>
      </w:r>
      <w:bookmarkStart w:id="0" w:name="_GoBack"/>
      <w:bookmarkEnd w:id="0"/>
      <w:r>
        <w:rPr>
          <w:rFonts w:hint="eastAsia" w:ascii="仿宋_GB2312" w:eastAsia="仿宋_GB2312"/>
          <w:color w:val="000000"/>
          <w:sz w:val="32"/>
          <w:szCs w:val="32"/>
        </w:rPr>
        <w:t xml:space="preserve">单跨超过4m，不得纳入建设范围。    </w:t>
      </w:r>
    </w:p>
    <w:p>
      <w:pPr>
        <w:spacing w:line="640" w:lineRule="exact"/>
        <w:ind w:left="254" w:leftChars="121" w:firstLine="645"/>
        <w:rPr>
          <w:rFonts w:hint="eastAsia" w:ascii="仿宋_GB2312" w:eastAsia="仿宋_GB2312"/>
          <w:color w:val="000000"/>
          <w:sz w:val="32"/>
          <w:szCs w:val="32"/>
        </w:rPr>
      </w:pPr>
      <w:r>
        <w:rPr>
          <w:rFonts w:hint="eastAsia" w:ascii="黑体" w:eastAsia="黑体"/>
          <w:b/>
          <w:color w:val="000000"/>
          <w:sz w:val="32"/>
          <w:szCs w:val="32"/>
        </w:rPr>
        <w:t>五、申报时间。</w:t>
      </w:r>
      <w:r>
        <w:rPr>
          <w:rFonts w:hint="eastAsia" w:ascii="仿宋_GB2312" w:eastAsia="仿宋_GB2312"/>
          <w:color w:val="000000"/>
          <w:sz w:val="32"/>
          <w:szCs w:val="32"/>
        </w:rPr>
        <w:t>首批入库项目申报时间截至2016年6月3</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 xml:space="preserve">日。 </w:t>
      </w:r>
    </w:p>
    <w:p>
      <w:pPr>
        <w:spacing w:line="640" w:lineRule="exact"/>
        <w:ind w:left="254" w:leftChars="121" w:firstLine="645"/>
        <w:rPr>
          <w:rFonts w:hint="eastAsia" w:ascii="仿宋_GB2312" w:eastAsia="仿宋_GB2312"/>
          <w:bCs/>
          <w:color w:val="000000"/>
          <w:sz w:val="32"/>
          <w:szCs w:val="32"/>
        </w:rPr>
      </w:pPr>
      <w:r>
        <w:rPr>
          <w:rFonts w:hint="eastAsia" w:ascii="黑体" w:eastAsia="黑体"/>
          <w:b/>
          <w:color w:val="000000"/>
          <w:sz w:val="32"/>
          <w:szCs w:val="32"/>
        </w:rPr>
        <w:t>六、项目评价。</w:t>
      </w:r>
      <w:r>
        <w:rPr>
          <w:rFonts w:hint="eastAsia" w:ascii="仿宋_GB2312" w:eastAsia="仿宋_GB2312"/>
          <w:color w:val="000000"/>
          <w:sz w:val="32"/>
          <w:szCs w:val="32"/>
        </w:rPr>
        <w:t>设计单位在编制项目可研报告时应按有关技术要求对项目实施后可量化、可</w:t>
      </w:r>
      <w:r>
        <w:rPr>
          <w:rFonts w:hint="eastAsia" w:ascii="仿宋_GB2312" w:eastAsia="仿宋_GB2312"/>
          <w:bCs/>
          <w:color w:val="000000"/>
          <w:sz w:val="32"/>
          <w:szCs w:val="32"/>
        </w:rPr>
        <w:t>考评指标的预期效益进行评估，形成评估报告并单独装订成册。如发生变更，设计单位应对评估报告进行相应修改。</w:t>
      </w:r>
    </w:p>
    <w:p>
      <w:pPr>
        <w:spacing w:line="640" w:lineRule="exact"/>
        <w:rPr>
          <w:rFonts w:hint="eastAsia" w:ascii="仿宋_GB2312" w:eastAsia="仿宋_GB2312"/>
          <w:sz w:val="32"/>
          <w:szCs w:val="32"/>
        </w:rPr>
      </w:pPr>
    </w:p>
    <w:p>
      <w:pPr>
        <w:spacing w:line="640" w:lineRule="exact"/>
        <w:rPr>
          <w:rFonts w:hint="eastAsia" w:ascii="仿宋_GB2312" w:eastAsia="仿宋_GB2312"/>
          <w:sz w:val="32"/>
          <w:szCs w:val="32"/>
        </w:rPr>
      </w:pPr>
    </w:p>
    <w:p>
      <w:pPr>
        <w:spacing w:line="640" w:lineRule="exact"/>
        <w:rPr>
          <w:rFonts w:hint="eastAsia" w:ascii="仿宋_GB2312" w:eastAsia="仿宋_GB2312"/>
          <w:sz w:val="32"/>
          <w:szCs w:val="32"/>
        </w:rPr>
      </w:pPr>
    </w:p>
    <w:p>
      <w:pPr>
        <w:spacing w:line="640" w:lineRule="exact"/>
        <w:rPr>
          <w:rFonts w:hint="eastAsia" w:ascii="仿宋_GB2312" w:eastAsia="仿宋_GB2312"/>
          <w:sz w:val="32"/>
          <w:szCs w:val="32"/>
        </w:rPr>
      </w:pPr>
    </w:p>
    <w:p>
      <w:pPr>
        <w:spacing w:line="640" w:lineRule="exact"/>
        <w:rPr>
          <w:rFonts w:hint="eastAsia" w:ascii="仿宋_GB2312" w:eastAsia="仿宋_GB2312"/>
          <w:sz w:val="32"/>
          <w:szCs w:val="32"/>
        </w:rPr>
      </w:pPr>
    </w:p>
    <w:p>
      <w:pPr>
        <w:spacing w:line="640" w:lineRule="exact"/>
        <w:rPr>
          <w:rFonts w:hint="eastAsia" w:ascii="仿宋_GB2312" w:eastAsia="仿宋_GB2312"/>
          <w:sz w:val="32"/>
          <w:szCs w:val="32"/>
        </w:rPr>
      </w:pPr>
    </w:p>
    <w:p>
      <w:pPr>
        <w:spacing w:line="640" w:lineRule="exact"/>
        <w:rPr>
          <w:rFonts w:hint="eastAsia" w:ascii="仿宋_GB2312" w:eastAsia="仿宋_GB2312"/>
          <w:sz w:val="32"/>
          <w:szCs w:val="32"/>
        </w:rPr>
      </w:pPr>
    </w:p>
    <w:p>
      <w:pPr>
        <w:spacing w:line="640" w:lineRule="exact"/>
        <w:rPr>
          <w:rFonts w:hint="eastAsia" w:ascii="仿宋_GB2312" w:eastAsia="仿宋_GB2312"/>
          <w:sz w:val="32"/>
          <w:szCs w:val="32"/>
        </w:rPr>
      </w:pPr>
    </w:p>
    <w:p>
      <w:pPr>
        <w:spacing w:line="640" w:lineRule="exact"/>
        <w:rPr>
          <w:rFonts w:hint="eastAsia" w:ascii="仿宋_GB2312" w:eastAsia="仿宋_GB2312"/>
          <w:sz w:val="32"/>
          <w:szCs w:val="32"/>
        </w:rPr>
      </w:pPr>
    </w:p>
    <w:p>
      <w:pPr>
        <w:spacing w:line="640" w:lineRule="exact"/>
        <w:rPr>
          <w:rFonts w:hint="eastAsia" w:ascii="仿宋_GB2312" w:eastAsia="仿宋_GB2312"/>
          <w:sz w:val="32"/>
          <w:szCs w:val="32"/>
        </w:rPr>
      </w:pPr>
    </w:p>
    <w:p>
      <w:pPr>
        <w:spacing w:line="640" w:lineRule="exact"/>
        <w:rPr>
          <w:rFonts w:hint="eastAsia" w:ascii="仿宋_GB2312" w:eastAsia="仿宋_GB2312"/>
          <w:sz w:val="32"/>
          <w:szCs w:val="32"/>
        </w:rPr>
      </w:pPr>
    </w:p>
    <w:p>
      <w:pPr>
        <w:spacing w:line="640" w:lineRule="exact"/>
        <w:rPr>
          <w:rFonts w:hint="eastAsia" w:ascii="仿宋_GB2312" w:eastAsia="仿宋_GB2312"/>
          <w:sz w:val="32"/>
          <w:szCs w:val="32"/>
        </w:rPr>
      </w:pPr>
    </w:p>
    <w:p>
      <w:pPr>
        <w:spacing w:line="640" w:lineRule="exact"/>
        <w:rPr>
          <w:rFonts w:hint="eastAsia"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C56433"/>
    <w:rsid w:val="0E86508C"/>
    <w:rsid w:val="355111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植树</cp:lastModifiedBy>
  <dcterms:modified xsi:type="dcterms:W3CDTF">2022-02-11T09:20:48Z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F50528630470478A8A4F98C617682986</vt:lpwstr>
  </property>
</Properties>
</file>