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outlineLvl w:val="0"/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商业性地质勘查项目工作总结编写提纲</w:t>
      </w:r>
    </w:p>
    <w:p>
      <w:pPr>
        <w:ind w:right="-105" w:rightChars="-50" w:firstLine="643" w:firstLineChars="200"/>
        <w:jc w:val="center"/>
        <w:outlineLvl w:val="0"/>
        <w:rPr>
          <w:b/>
          <w:sz w:val="32"/>
          <w:szCs w:val="32"/>
        </w:rPr>
      </w:pP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绪言：说明项目来源、性质、探矿权基本情况、目标任务、预期成果；工作时间；工作量完成情况（对照实施方案）；取得的主要地质成果。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矿区地质：详细说明矿区地层、构造、岩浆岩、变质岩等地质特征；矿区地球物理地球化学特征；矿区自然重砂特征。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矿床地质：详细说明区内矿体（脉）的数量、分布；各矿体（脉）的形态、产状、规模、矿化特征及其变化；各矿体（脉）的工程控制情况；共伴生有用有害组分的含量、分布及其变化；矿石组构、矿石质量、矿石类型及其加工性能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矿床开采技术条件：矿床水文地质、工程地质、环境地质及其它开采技术条件。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工作方法及质量评述：说明矿床勘查类型的确定，采用的工作手段及勘查工程间距。对所采用的工作方法分别介绍,并对工作质量进行评述。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详细说明各项工作的部署方案、工作量及其质量。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资源量估算：资源量估算的初步方案和结果。</w:t>
      </w:r>
    </w:p>
    <w:p>
      <w:r>
        <w:rPr>
          <w:rFonts w:eastAsia="仿宋_GB2312"/>
          <w:sz w:val="32"/>
          <w:szCs w:val="32"/>
        </w:rPr>
        <w:t>7. 存在问题和下步工作建议：针对当前阶段已实施完成的工作及其认识，分析本次工作质量方面存在的主要问题、工作区内尚未解决的地质问题、今后工作应重点解决的问题及解决这些问题的方向、思路、方法、手段等方面的建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1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2017-08-30T09:22:58Z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