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附件4-1</w:t>
      </w:r>
    </w:p>
    <w:p>
      <w:pPr>
        <w:widowControl/>
        <w:spacing w:line="68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 w:cs="方正小标宋_GBK"/>
          <w:kern w:val="0"/>
          <w:sz w:val="44"/>
          <w:szCs w:val="44"/>
        </w:rPr>
        <w:t>年省本级政府购买服务项目支出预算表</w:t>
      </w:r>
    </w:p>
    <w:p>
      <w:pPr>
        <w:widowControl/>
        <w:tabs>
          <w:tab w:val="left" w:pos="1044"/>
          <w:tab w:val="left" w:pos="1920"/>
          <w:tab w:val="left" w:pos="2796"/>
          <w:tab w:val="left" w:pos="3682"/>
          <w:tab w:val="left" w:pos="4629"/>
          <w:tab w:val="left" w:pos="5505"/>
          <w:tab w:val="left" w:pos="6381"/>
          <w:tab w:val="left" w:pos="7257"/>
          <w:tab w:val="left" w:pos="8133"/>
          <w:tab w:val="left" w:pos="9065"/>
          <w:tab w:val="left" w:pos="9941"/>
          <w:tab w:val="left" w:pos="10817"/>
          <w:tab w:val="left" w:pos="11693"/>
          <w:tab w:val="left" w:pos="12569"/>
          <w:tab w:val="left" w:pos="13445"/>
          <w:tab w:val="left" w:pos="14321"/>
        </w:tabs>
        <w:spacing w:line="400" w:lineRule="exact"/>
        <w:ind w:left="108" w:firstLine="482"/>
        <w:jc w:val="right"/>
        <w:rPr>
          <w:rFonts w:hint="eastAsia" w:ascii="宋体" w:hAnsi="宋体"/>
          <w:kern w:val="0"/>
          <w:sz w:val="24"/>
        </w:rPr>
      </w:pPr>
    </w:p>
    <w:p>
      <w:pPr>
        <w:widowControl/>
        <w:tabs>
          <w:tab w:val="left" w:pos="1044"/>
          <w:tab w:val="left" w:pos="1920"/>
          <w:tab w:val="left" w:pos="2796"/>
          <w:tab w:val="left" w:pos="3682"/>
          <w:tab w:val="left" w:pos="4629"/>
          <w:tab w:val="left" w:pos="5505"/>
          <w:tab w:val="left" w:pos="6381"/>
          <w:tab w:val="left" w:pos="7257"/>
          <w:tab w:val="left" w:pos="8133"/>
          <w:tab w:val="left" w:pos="9065"/>
          <w:tab w:val="left" w:pos="9941"/>
          <w:tab w:val="left" w:pos="10817"/>
          <w:tab w:val="left" w:pos="11693"/>
          <w:tab w:val="left" w:pos="12569"/>
          <w:tab w:val="left" w:pos="13445"/>
          <w:tab w:val="left" w:pos="14321"/>
        </w:tabs>
        <w:spacing w:line="400" w:lineRule="exact"/>
        <w:ind w:left="108" w:firstLine="482"/>
        <w:jc w:val="right"/>
        <w:rPr>
          <w:rFonts w:ascii="宋体" w:hAnsi="宋体"/>
          <w:b/>
          <w:bCs/>
          <w:kern w:val="0"/>
        </w:rPr>
      </w:pP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40"/>
          <w:szCs w:val="40"/>
        </w:rPr>
        <w:tab/>
      </w:r>
      <w:r>
        <w:rPr>
          <w:rFonts w:ascii="宋体" w:hAnsi="宋体"/>
          <w:kern w:val="0"/>
          <w:sz w:val="40"/>
          <w:szCs w:val="40"/>
        </w:rPr>
        <w:tab/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ab/>
      </w:r>
      <w:r>
        <w:rPr>
          <w:rFonts w:hint="eastAsia" w:ascii="宋体" w:hAnsi="宋体" w:cs="仿宋_GB2312"/>
          <w:kern w:val="0"/>
        </w:rPr>
        <w:t>单位：万元</w:t>
      </w:r>
    </w:p>
    <w:tbl>
      <w:tblPr>
        <w:tblStyle w:val="6"/>
        <w:tblW w:w="145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00"/>
        <w:gridCol w:w="700"/>
        <w:gridCol w:w="1233"/>
        <w:gridCol w:w="1246"/>
        <w:gridCol w:w="820"/>
        <w:gridCol w:w="880"/>
        <w:gridCol w:w="740"/>
        <w:gridCol w:w="860"/>
        <w:gridCol w:w="1133"/>
        <w:gridCol w:w="860"/>
        <w:gridCol w:w="580"/>
        <w:gridCol w:w="880"/>
        <w:gridCol w:w="880"/>
        <w:gridCol w:w="780"/>
        <w:gridCol w:w="780"/>
        <w:gridCol w:w="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预算单位代码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预算单位名称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政府购买服务项目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资金项目名称</w:t>
            </w:r>
          </w:p>
        </w:tc>
        <w:tc>
          <w:tcPr>
            <w:tcW w:w="593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政府购买服务预算金额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承接主体类别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直接受益对象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预期绩效目标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政府购买服务目录代码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政府购买服务目录名称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具体项目名称</w:t>
            </w: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合计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一般公共预算拨款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政府性基金拨款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纳入专户管理的非税收入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中央财政补助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小计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一般公共预算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</w:rPr>
            </w:pPr>
            <w:r>
              <w:rPr>
                <w:rFonts w:hint="eastAsia" w:eastAsia="黑体" w:cs="黑体"/>
                <w:kern w:val="0"/>
              </w:rPr>
              <w:t>政府性基金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合计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　</w:t>
            </w:r>
          </w:p>
        </w:tc>
      </w:tr>
    </w:tbl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ind w:left="-178" w:leftChars="-85" w:firstLine="602" w:firstLineChars="200"/>
        <w:rPr>
          <w:rFonts w:eastAsia="仿宋_GB2312"/>
          <w:b/>
          <w:bCs/>
          <w:kern w:val="0"/>
          <w:sz w:val="30"/>
          <w:szCs w:val="30"/>
        </w:rPr>
      </w:pP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ind w:left="-178" w:leftChars="-85" w:firstLine="602" w:firstLineChars="200"/>
        <w:rPr>
          <w:rFonts w:eastAsia="仿宋_GB2312"/>
          <w:b/>
          <w:bCs/>
          <w:kern w:val="0"/>
          <w:sz w:val="30"/>
          <w:szCs w:val="30"/>
        </w:rPr>
      </w:pP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ind w:left="-178" w:leftChars="-85" w:firstLine="602" w:firstLineChars="200"/>
        <w:rPr>
          <w:rFonts w:eastAsia="仿宋_GB2312"/>
          <w:b/>
          <w:bCs/>
          <w:kern w:val="0"/>
          <w:sz w:val="30"/>
          <w:szCs w:val="30"/>
        </w:rPr>
        <w:sectPr>
          <w:footerReference r:id="rId3" w:type="default"/>
          <w:pgSz w:w="16837" w:h="11905" w:orient="landscape"/>
          <w:pgMar w:top="1134" w:right="1134" w:bottom="1134" w:left="1134" w:header="851" w:footer="992" w:gutter="0"/>
          <w:cols w:space="720" w:num="1"/>
          <w:docGrid w:type="lines" w:linePitch="636" w:charSpace="20838"/>
        </w:sectPr>
      </w:pP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4-2</w:t>
      </w:r>
    </w:p>
    <w:p>
      <w:pPr>
        <w:tabs>
          <w:tab w:val="left" w:pos="5760"/>
          <w:tab w:val="left" w:pos="8460"/>
          <w:tab w:val="left" w:pos="8640"/>
          <w:tab w:val="left" w:pos="8820"/>
          <w:tab w:val="left" w:pos="9180"/>
          <w:tab w:val="left" w:pos="9360"/>
        </w:tabs>
        <w:spacing w:line="200" w:lineRule="exact"/>
        <w:rPr>
          <w:rFonts w:eastAsia="仿宋_GB2312"/>
          <w:b/>
          <w:bCs/>
          <w:kern w:val="0"/>
          <w:sz w:val="30"/>
          <w:szCs w:val="30"/>
        </w:rPr>
      </w:pPr>
    </w:p>
    <w:p>
      <w:pPr>
        <w:widowControl/>
        <w:spacing w:line="68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/>
          <w:kern w:val="0"/>
          <w:sz w:val="44"/>
          <w:szCs w:val="44"/>
        </w:rPr>
        <w:t>年政府购买服务项目</w:t>
      </w:r>
    </w:p>
    <w:p>
      <w:pPr>
        <w:widowControl/>
        <w:spacing w:line="6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支出预算表编报说明</w:t>
      </w:r>
    </w:p>
    <w:p>
      <w:pPr>
        <w:spacing w:line="570" w:lineRule="exact"/>
        <w:rPr>
          <w:rFonts w:eastAsia="方正小标宋_GBK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、预算单位代码、预算单位名称填列到基层预算单位，由一级预算单位汇总，从</w:t>
      </w: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 w:cs="仿宋_GB2312"/>
          <w:sz w:val="32"/>
          <w:szCs w:val="32"/>
        </w:rPr>
        <w:t>年部门预算系统中直接导入。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、政府购买服务目录代码、政府购买服务目录名称按照《湖南省国土资源厅政府购买服务指导性目录》（湘财建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72</w:t>
      </w:r>
      <w:r>
        <w:rPr>
          <w:rFonts w:hint="eastAsia" w:eastAsia="仿宋_GB2312" w:cs="仿宋_GB2312"/>
          <w:sz w:val="32"/>
          <w:szCs w:val="32"/>
        </w:rPr>
        <w:t>号）的目录代码、名称进行选择，只需选择代码，自动显示名称（已编制本部门目录的代码、名称将录入</w:t>
      </w: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 w:cs="仿宋_GB2312"/>
          <w:sz w:val="32"/>
          <w:szCs w:val="32"/>
        </w:rPr>
        <w:t>年部门预算系统）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、购买服务项目的具体项目名称根据该服务事项所属目录进行细化，例如</w:t>
      </w:r>
      <w:r>
        <w:rPr>
          <w:rFonts w:eastAsia="仿宋_GB2312"/>
          <w:sz w:val="32"/>
          <w:szCs w:val="32"/>
        </w:rPr>
        <w:t>E</w:t>
      </w:r>
      <w:r>
        <w:rPr>
          <w:rFonts w:hint="eastAsia" w:eastAsia="仿宋_GB2312" w:cs="仿宋_GB2312"/>
          <w:sz w:val="32"/>
          <w:szCs w:val="32"/>
        </w:rPr>
        <w:t>类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政府履职所需辅助性事项</w:t>
      </w:r>
      <w:r>
        <w:rPr>
          <w:rFonts w:eastAsia="仿宋_GB2312"/>
          <w:sz w:val="32"/>
          <w:szCs w:val="32"/>
        </w:rPr>
        <w:t>”04</w:t>
      </w:r>
      <w:r>
        <w:rPr>
          <w:rFonts w:hint="eastAsia" w:eastAsia="仿宋_GB2312" w:cs="仿宋_GB2312"/>
          <w:sz w:val="32"/>
          <w:szCs w:val="32"/>
        </w:rPr>
        <w:t>款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课题研究类</w:t>
      </w:r>
      <w:r>
        <w:rPr>
          <w:rFonts w:eastAsia="仿宋_GB2312"/>
          <w:sz w:val="32"/>
          <w:szCs w:val="32"/>
        </w:rPr>
        <w:t>”01</w:t>
      </w:r>
      <w:r>
        <w:rPr>
          <w:rFonts w:hint="eastAsia" w:eastAsia="仿宋_GB2312" w:cs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政府决策、执行、监督等方面的通用课题研究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，具体项目名称应写明购买课题研究的具体名称。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、购买服务预算金额资金性质与上述资金项目性质保持一致，金额应小于或等于上述资金项目预算金额。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、承接主体类别请按照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社会组织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、机构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事业单位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选择填报。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、直接受益对象请按照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政府部门自身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社会公众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选择填报。</w:t>
      </w:r>
    </w:p>
    <w:p>
      <w:pPr>
        <w:overflowPunct w:val="0"/>
        <w:autoSpaceDE w:val="0"/>
        <w:autoSpaceDN w:val="0"/>
        <w:adjustRightInd w:val="0"/>
        <w:spacing w:line="570" w:lineRule="exact"/>
        <w:ind w:firstLine="640" w:firstLineChars="200"/>
        <w:rPr>
          <w:rFonts w:eastAsia="仿宋_GB2312" w:cs="仿宋_GB2312"/>
          <w:sz w:val="32"/>
          <w:szCs w:val="32"/>
        </w:rPr>
        <w:sectPr>
          <w:pgSz w:w="11907" w:h="16840"/>
          <w:pgMar w:top="1440" w:right="1701" w:bottom="1440" w:left="1701" w:header="851" w:footer="992" w:gutter="0"/>
          <w:cols w:space="720" w:num="1"/>
          <w:docGrid w:type="linesAndChars" w:linePitch="312" w:charSpace="0"/>
        </w:sect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、预期绩效目标除资金项目本身的绩效外，还应填报采取政府购买服务方式所应达到的绩效目标。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ind w:firstLine="5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94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2018-09-11T09:38:13Z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