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alibri" w:hAnsi="Calibri" w:eastAsia="仿宋" w:cs="Calibri"/>
          <w:bCs/>
          <w:color w:val="000000"/>
          <w:sz w:val="32"/>
          <w:szCs w:val="32"/>
        </w:rPr>
      </w:pPr>
      <w:r>
        <w:rPr>
          <w:rFonts w:hint="eastAsia" w:ascii="Calibri" w:hAnsi="Calibri" w:eastAsia="仿宋" w:cs="仿宋"/>
          <w:bCs/>
          <w:color w:val="000000"/>
          <w:sz w:val="32"/>
          <w:szCs w:val="32"/>
        </w:rPr>
        <w:t>附表</w:t>
      </w:r>
    </w:p>
    <w:p>
      <w:pPr>
        <w:widowControl/>
        <w:spacing w:line="680" w:lineRule="exact"/>
        <w:jc w:val="center"/>
        <w:rPr>
          <w:rFonts w:hint="eastAsia" w:ascii="方正小标宋简体" w:hAnsi="Calibri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仿宋"/>
          <w:bCs/>
          <w:color w:val="000000"/>
          <w:sz w:val="44"/>
          <w:szCs w:val="44"/>
        </w:rPr>
        <w:t>全省农转征项目批后征地信息</w:t>
      </w:r>
    </w:p>
    <w:p>
      <w:pPr>
        <w:widowControl/>
        <w:spacing w:line="680" w:lineRule="exact"/>
        <w:jc w:val="center"/>
        <w:rPr>
          <w:rFonts w:hint="eastAsia" w:ascii="方正小标宋简体" w:hAnsi="Calibri" w:eastAsia="方正小标宋简体" w:cs="Calibri"/>
          <w:bCs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仿宋"/>
          <w:bCs/>
          <w:color w:val="000000"/>
          <w:sz w:val="44"/>
          <w:szCs w:val="44"/>
        </w:rPr>
        <w:t>公开情况一览表</w:t>
      </w:r>
    </w:p>
    <w:p>
      <w:pPr>
        <w:widowControl/>
        <w:jc w:val="left"/>
        <w:rPr>
          <w:rFonts w:hint="eastAsia" w:ascii="Calibri" w:hAnsi="Calibri" w:eastAsia="仿宋" w:cs="仿宋"/>
          <w:color w:val="000000"/>
        </w:rPr>
      </w:pPr>
    </w:p>
    <w:p>
      <w:pPr>
        <w:widowControl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单位：条</w:t>
      </w:r>
    </w:p>
    <w:tbl>
      <w:tblPr>
        <w:tblStyle w:val="3"/>
        <w:tblW w:w="91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97"/>
        <w:gridCol w:w="923"/>
        <w:gridCol w:w="696"/>
        <w:gridCol w:w="1176"/>
        <w:gridCol w:w="1176"/>
        <w:gridCol w:w="753"/>
        <w:gridCol w:w="1143"/>
        <w:gridCol w:w="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23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地区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下发批单数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已公开征地信息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未公开征地信息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公开率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23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总数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正常录入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超期录入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总数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4"/>
              </w:rPr>
              <w:t>已超期</w:t>
            </w: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/>
                <w:sz w:val="24"/>
              </w:rPr>
              <w:t>全省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1778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1580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1114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 w:val="24"/>
              </w:rPr>
              <w:t>88.86%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长沙市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浏阳市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宁乡市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97.83%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望城区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长沙县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湘江新区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株洲市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66.03%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48.05%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攸县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茶陵县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株洲县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醴陵市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炎陵县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湘潭市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湘乡市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韶山市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湘潭县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衡阳市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84.08%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衡山县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耒阳市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59.46%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祁东县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衡东县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衡南县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常宁市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南岳区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衡阳县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邵阳市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洞口县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武冈市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新宁县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城步苗族自治县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邵东县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绥宁县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隆回县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新邵县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邵阳县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岳阳市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华容县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汩罗市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临湘市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湘阴县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岳阳市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岳阳县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君山区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平江县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常德市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236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97.93%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石门县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鼎城区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桃源县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津市市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临澧县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汉寿县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安乡县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澧县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张家界市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桑植县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慈利县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益阳市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88.51%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沅江市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73.68%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安化县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76.92%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桃江县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郴州市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96.97%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嘉禾县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汝城县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郴州市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永兴县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资兴市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宜章县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安仁县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临武县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桂东县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桂阳县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永州市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76.92%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28.95%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道县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江永县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江华瑶族自治县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新田县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蓝山县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宁远县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东安县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祁阳县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双牌县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怀化市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95.05%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通道侗族自治县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辰溪县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麻阳苗族自治县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会同县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沅陵县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新晃侗族自治县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芷江侗族自治县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怀化市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溆浦县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中方县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洪江市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靖州苗族侗族自治县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娄底市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96.74%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市本级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新化县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92.68%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涟源市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冷水江市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双峰县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湘西土家族苗族自治州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小计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吉首市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永顺县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凤凰县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花垣县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保靖县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古丈县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泸溪县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龙山县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100%</w:t>
            </w:r>
          </w:p>
        </w:tc>
      </w:tr>
    </w:tbl>
    <w:p>
      <w:pPr>
        <w:ind w:firstLine="42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13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2018-11-06T01:24:05Z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