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湖南省自然资源厅法律顾问选聘评分标准</w:t>
      </w:r>
    </w:p>
    <w:tbl>
      <w:tblPr>
        <w:tblStyle w:val="3"/>
        <w:tblW w:w="14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37"/>
        <w:gridCol w:w="10260"/>
        <w:gridCol w:w="814"/>
        <w:gridCol w:w="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163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因素</w:t>
            </w:r>
          </w:p>
        </w:tc>
        <w:tc>
          <w:tcPr>
            <w:tcW w:w="102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评分标准</w:t>
            </w:r>
          </w:p>
        </w:tc>
        <w:tc>
          <w:tcPr>
            <w:tcW w:w="8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小计（分）</w:t>
            </w:r>
          </w:p>
        </w:tc>
        <w:tc>
          <w:tcPr>
            <w:tcW w:w="9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满分（分）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律所综合实力</w:t>
            </w:r>
          </w:p>
        </w:tc>
        <w:tc>
          <w:tcPr>
            <w:tcW w:w="10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①律所成立年限：每年得</w:t>
            </w:r>
            <w:r>
              <w:rPr>
                <w:rFonts w:ascii="宋体" w:hAnsi="宋体" w:cs="宋体"/>
                <w:kern w:val="0"/>
              </w:rPr>
              <w:t>0.2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分；</w:t>
            </w:r>
            <w:r>
              <w:rPr>
                <w:rFonts w:hint="eastAsia" w:cs="宋体"/>
                <w:color w:val="333333"/>
                <w:spacing w:val="15"/>
              </w:rPr>
              <w:t>执业律师人数：每人得</w:t>
            </w:r>
            <w:r>
              <w:rPr>
                <w:color w:val="333333"/>
                <w:spacing w:val="15"/>
              </w:rPr>
              <w:t>0.1</w:t>
            </w:r>
            <w:r>
              <w:rPr>
                <w:rFonts w:hint="eastAsia" w:cs="宋体"/>
                <w:color w:val="333333"/>
                <w:spacing w:val="15"/>
              </w:rPr>
              <w:t>分，最高</w:t>
            </w:r>
            <w:r>
              <w:rPr>
                <w:rFonts w:hint="eastAsia" w:ascii="宋体" w:hAnsi="宋体" w:cs="宋体"/>
                <w:kern w:val="0"/>
              </w:rPr>
              <w:t>得分</w:t>
            </w:r>
            <w:r>
              <w:rPr>
                <w:rFonts w:hint="eastAsia"/>
                <w:color w:val="333333"/>
                <w:spacing w:val="15"/>
              </w:rPr>
              <w:t>2.5</w:t>
            </w:r>
            <w:r>
              <w:rPr>
                <w:rFonts w:hint="eastAsia" w:cs="宋体"/>
                <w:color w:val="333333"/>
                <w:spacing w:val="15"/>
              </w:rPr>
              <w:t>分</w:t>
            </w:r>
            <w:r>
              <w:rPr>
                <w:rFonts w:hint="eastAsia" w:ascii="宋体" w:hAnsi="宋体" w:cs="宋体"/>
                <w:kern w:val="0"/>
              </w:rPr>
              <w:t>；执业律师学历水平：博士每人得</w:t>
            </w:r>
            <w:r>
              <w:rPr>
                <w:rFonts w:ascii="宋体" w:hAnsi="宋体" w:cs="宋体"/>
                <w:kern w:val="0"/>
              </w:rPr>
              <w:t>0.5</w:t>
            </w:r>
            <w:r>
              <w:rPr>
                <w:rFonts w:hint="eastAsia" w:ascii="宋体" w:hAnsi="宋体" w:cs="宋体"/>
                <w:kern w:val="0"/>
              </w:rPr>
              <w:t>分，硕士每人得</w:t>
            </w:r>
            <w:r>
              <w:rPr>
                <w:rFonts w:ascii="宋体" w:hAnsi="宋体" w:cs="宋体"/>
                <w:kern w:val="0"/>
              </w:rPr>
              <w:t>0.2</w:t>
            </w:r>
            <w:r>
              <w:rPr>
                <w:rFonts w:hint="eastAsia" w:ascii="宋体" w:hAnsi="宋体" w:cs="宋体"/>
                <w:kern w:val="0"/>
              </w:rPr>
              <w:t>分或行政法专业硕士得分0.5，最高得分2.5分</w:t>
            </w:r>
          </w:p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②律所（或执业律师）获得荣誉：省部级及以上得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分；厅局级得</w:t>
            </w:r>
            <w:r>
              <w:rPr>
                <w:rFonts w:ascii="宋体" w:hAnsi="宋体" w:cs="宋体"/>
                <w:kern w:val="0"/>
              </w:rPr>
              <w:t>0.5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分；执业律师发表的学术论文：</w:t>
            </w:r>
            <w:r>
              <w:rPr>
                <w:rFonts w:ascii="宋体" w:hAnsi="宋体" w:cs="宋体"/>
                <w:kern w:val="0"/>
              </w:rPr>
              <w:t xml:space="preserve"> SCI</w:t>
            </w:r>
            <w:r>
              <w:rPr>
                <w:rFonts w:hint="eastAsia" w:ascii="宋体" w:hAnsi="宋体" w:cs="宋体"/>
                <w:kern w:val="0"/>
              </w:rPr>
              <w:t>每篇得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分，省级及以上刊物每篇得</w:t>
            </w:r>
            <w:r>
              <w:rPr>
                <w:rFonts w:ascii="宋体" w:hAnsi="宋体" w:cs="宋体"/>
                <w:kern w:val="0"/>
              </w:rPr>
              <w:t>0.2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2</w:t>
            </w:r>
            <w:r>
              <w:rPr>
                <w:b/>
                <w:bCs/>
                <w:kern w:val="0"/>
              </w:rPr>
              <w:t>0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3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近五年内担任法律顾问经历</w:t>
            </w:r>
          </w:p>
        </w:tc>
        <w:tc>
          <w:tcPr>
            <w:tcW w:w="10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①担任自然资源相关管理部门法律顾问：一个单位每年得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分，最高得分10分</w:t>
            </w:r>
          </w:p>
          <w:p>
            <w:pPr>
              <w:widowControl/>
              <w:rPr>
                <w:color w:val="333333"/>
                <w:spacing w:val="15"/>
              </w:rPr>
            </w:pPr>
            <w:r>
              <w:rPr>
                <w:rFonts w:hint="eastAsia" w:ascii="宋体" w:hAnsi="宋体" w:cs="宋体"/>
                <w:kern w:val="0"/>
              </w:rPr>
              <w:t>②担任其他政府管理部门法律顾问：一个单位一年得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</w:t>
            </w:r>
            <w:r>
              <w:rPr>
                <w:rFonts w:hint="eastAsia" w:cs="宋体"/>
                <w:color w:val="333333"/>
                <w:spacing w:val="15"/>
              </w:rPr>
              <w:t>，最高得分</w:t>
            </w:r>
            <w:r>
              <w:rPr>
                <w:rFonts w:ascii="宋体" w:hAnsi="宋体" w:cs="宋体"/>
                <w:kern w:val="0"/>
              </w:rPr>
              <w:t>10</w:t>
            </w:r>
            <w:r>
              <w:rPr>
                <w:rFonts w:hint="eastAsia" w:cs="宋体"/>
                <w:color w:val="333333"/>
                <w:spacing w:val="15"/>
              </w:rPr>
              <w:t>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20</w:t>
            </w: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近五年内参与立法修法等工作经验</w:t>
            </w:r>
          </w:p>
        </w:tc>
        <w:tc>
          <w:tcPr>
            <w:tcW w:w="10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①参与过自然资源领域立法、修法：一次得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②参与过其他领域立法、修法：一次得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③参与过市级以上政府和厅局级及以上政府管理部门管理办法、规则制定：一次得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分，最高得分</w:t>
            </w:r>
            <w:r>
              <w:rPr>
                <w:rFonts w:ascii="宋体" w:hAnsi="宋体" w:cs="宋体"/>
                <w:kern w:val="0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分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20</w:t>
            </w: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近五年内代理行政复议和诉讼情况</w:t>
            </w:r>
          </w:p>
        </w:tc>
        <w:tc>
          <w:tcPr>
            <w:tcW w:w="10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①代理行政机关自然资源领域行政复议和诉讼：30件得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分（胜诉案件），最高得分15分</w:t>
            </w:r>
          </w:p>
          <w:p>
            <w:pPr>
              <w:widowControl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②代理行政机关其他领域行政复议和诉讼：30件得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分（胜诉案件），最高得分15分</w:t>
            </w:r>
          </w:p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③办理过重大复杂疑难行政诉讼复议案件：一件得1分，最高得分10分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4</w:t>
            </w:r>
            <w:r>
              <w:rPr>
                <w:rFonts w:ascii="宋体" w:hAnsi="宋体" w:cs="宋体"/>
                <w:b/>
                <w:bCs/>
                <w:kern w:val="0"/>
              </w:rPr>
              <w:t>0</w:t>
            </w: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</w:tbl>
    <w:p>
      <w:pPr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备注：自然资源领域包含国土资源领域和城乡规划领域；同一案由的行政复议和诉讼案件只算1件。</w:t>
      </w:r>
    </w:p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5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/>
      <w:szCs w:val="20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1 Char Char Char Char Char Char"/>
    <w:basedOn w:val="1"/>
    <w:link w:val="4"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2019-01-31T03:31:13Z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