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ind w:right="752"/>
        <w:rPr>
          <w:rFonts w:ascii="Times New Roman" w:hAnsi="Times New Roman" w:eastAsia="仿宋_GB2312"/>
          <w:color w:val="000000"/>
          <w:spacing w:val="8"/>
          <w:sz w:val="32"/>
          <w:szCs w:val="32"/>
        </w:rPr>
      </w:pPr>
      <w:r>
        <w:rPr>
          <w:rFonts w:ascii="Times New Roman" w:hAnsi="Times New Roman" w:eastAsia="仿宋_GB2312"/>
          <w:color w:val="000000"/>
          <w:spacing w:val="8"/>
          <w:sz w:val="32"/>
          <w:szCs w:val="32"/>
        </w:rPr>
        <w:t>附件1</w:t>
      </w:r>
    </w:p>
    <w:p>
      <w:pPr>
        <w:spacing w:line="596" w:lineRule="exact"/>
        <w:ind w:right="-31"/>
        <w:jc w:val="center"/>
        <w:rPr>
          <w:rFonts w:ascii="Times New Roman" w:hAnsi="Times New Roman" w:eastAsia="方正小标宋_GBK"/>
          <w:color w:val="000000"/>
          <w:sz w:val="42"/>
          <w:szCs w:val="42"/>
        </w:rPr>
      </w:pPr>
      <w:r>
        <w:rPr>
          <w:rFonts w:ascii="Times New Roman" w:hAnsi="Times New Roman" w:eastAsia="方正小标宋_GBK"/>
          <w:color w:val="000000"/>
          <w:sz w:val="42"/>
          <w:szCs w:val="42"/>
        </w:rPr>
        <w:t>工程建设项目招投标行贿失信行为名单（企业和个人）</w:t>
      </w:r>
    </w:p>
    <w:p>
      <w:pPr>
        <w:spacing w:line="596" w:lineRule="exact"/>
        <w:ind w:right="480"/>
        <w:jc w:val="center"/>
        <w:rPr>
          <w:rFonts w:ascii="Times New Roman" w:hAnsi="Times New Roman" w:eastAsia="方正小标宋_GBK"/>
          <w:color w:val="000000"/>
          <w:sz w:val="36"/>
          <w:szCs w:val="36"/>
        </w:rPr>
      </w:pPr>
    </w:p>
    <w:tbl>
      <w:tblPr>
        <w:tblStyle w:val="3"/>
        <w:tblW w:w="14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662"/>
        <w:gridCol w:w="2559"/>
        <w:gridCol w:w="9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2" w:type="dxa"/>
            <w:noWrap w:val="0"/>
            <w:vAlign w:val="center"/>
          </w:tcPr>
          <w:p>
            <w:pPr>
              <w:jc w:val="center"/>
              <w:rPr>
                <w:rFonts w:ascii="Times New Roman" w:hAnsi="Times New Roman" w:eastAsia="黑体"/>
                <w:color w:val="000000"/>
                <w:kern w:val="0"/>
                <w:sz w:val="24"/>
              </w:rPr>
            </w:pPr>
            <w:r>
              <w:rPr>
                <w:rFonts w:ascii="Times New Roman" w:hAnsi="Times New Roman" w:eastAsia="黑体"/>
                <w:color w:val="000000"/>
                <w:kern w:val="0"/>
                <w:sz w:val="24"/>
              </w:rPr>
              <w:t>序号</w:t>
            </w:r>
          </w:p>
        </w:tc>
        <w:tc>
          <w:tcPr>
            <w:tcW w:w="1662" w:type="dxa"/>
            <w:noWrap w:val="0"/>
            <w:vAlign w:val="center"/>
          </w:tcPr>
          <w:p>
            <w:pPr>
              <w:jc w:val="center"/>
              <w:rPr>
                <w:rFonts w:ascii="Times New Roman" w:hAnsi="Times New Roman" w:eastAsia="黑体"/>
                <w:color w:val="000000"/>
                <w:kern w:val="0"/>
                <w:sz w:val="24"/>
              </w:rPr>
            </w:pPr>
            <w:r>
              <w:rPr>
                <w:rFonts w:ascii="Times New Roman" w:hAnsi="Times New Roman" w:eastAsia="黑体"/>
                <w:color w:val="000000"/>
                <w:kern w:val="0"/>
                <w:sz w:val="24"/>
              </w:rPr>
              <w:t>失信行为单位</w:t>
            </w:r>
          </w:p>
          <w:p>
            <w:pPr>
              <w:jc w:val="center"/>
              <w:rPr>
                <w:rFonts w:ascii="Times New Roman" w:hAnsi="Times New Roman" w:eastAsia="黑体"/>
                <w:color w:val="000000"/>
                <w:kern w:val="0"/>
                <w:sz w:val="24"/>
              </w:rPr>
            </w:pPr>
            <w:r>
              <w:rPr>
                <w:rFonts w:ascii="Times New Roman" w:hAnsi="Times New Roman" w:eastAsia="黑体"/>
                <w:color w:val="000000"/>
                <w:kern w:val="0"/>
                <w:sz w:val="24"/>
              </w:rPr>
              <w:t>或个人</w:t>
            </w:r>
          </w:p>
        </w:tc>
        <w:tc>
          <w:tcPr>
            <w:tcW w:w="2559" w:type="dxa"/>
            <w:noWrap w:val="0"/>
            <w:vAlign w:val="center"/>
          </w:tcPr>
          <w:p>
            <w:pPr>
              <w:jc w:val="center"/>
              <w:rPr>
                <w:rFonts w:ascii="Times New Roman" w:hAnsi="Times New Roman" w:eastAsia="黑体"/>
                <w:color w:val="000000"/>
                <w:kern w:val="0"/>
                <w:sz w:val="24"/>
              </w:rPr>
            </w:pPr>
            <w:r>
              <w:rPr>
                <w:rFonts w:ascii="Times New Roman" w:hAnsi="Times New Roman" w:eastAsia="黑体"/>
                <w:color w:val="000000"/>
                <w:kern w:val="0"/>
                <w:sz w:val="24"/>
              </w:rPr>
              <w:t>社会信用代码</w:t>
            </w:r>
          </w:p>
          <w:p>
            <w:pPr>
              <w:jc w:val="center"/>
              <w:rPr>
                <w:rFonts w:ascii="Times New Roman" w:hAnsi="Times New Roman" w:eastAsia="黑体"/>
                <w:color w:val="000000"/>
                <w:kern w:val="0"/>
                <w:sz w:val="24"/>
              </w:rPr>
            </w:pPr>
            <w:r>
              <w:rPr>
                <w:rFonts w:ascii="Times New Roman" w:hAnsi="Times New Roman" w:eastAsia="黑体"/>
                <w:color w:val="000000"/>
                <w:kern w:val="0"/>
                <w:sz w:val="24"/>
              </w:rPr>
              <w:t>或身份证号码</w:t>
            </w:r>
          </w:p>
        </w:tc>
        <w:tc>
          <w:tcPr>
            <w:tcW w:w="9593" w:type="dxa"/>
            <w:noWrap w:val="0"/>
            <w:vAlign w:val="center"/>
          </w:tcPr>
          <w:p>
            <w:pPr>
              <w:jc w:val="center"/>
              <w:rPr>
                <w:rFonts w:ascii="Times New Roman" w:hAnsi="Times New Roman" w:eastAsia="黑体"/>
                <w:color w:val="000000"/>
                <w:kern w:val="0"/>
                <w:sz w:val="24"/>
              </w:rPr>
            </w:pPr>
            <w:r>
              <w:rPr>
                <w:rFonts w:ascii="Times New Roman" w:hAnsi="Times New Roman" w:eastAsia="黑体"/>
                <w:color w:val="000000"/>
                <w:kern w:val="0"/>
                <w:sz w:val="24"/>
              </w:rPr>
              <w:t>失信行为描述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662" w:type="dxa"/>
            <w:noWrap w:val="0"/>
            <w:vAlign w:val="center"/>
          </w:tcPr>
          <w:p>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株洲国辉建材</w:t>
            </w:r>
          </w:p>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有限责任公司</w:t>
            </w:r>
          </w:p>
        </w:tc>
        <w:tc>
          <w:tcPr>
            <w:tcW w:w="2559"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91430221351682840J</w:t>
            </w:r>
          </w:p>
        </w:tc>
        <w:tc>
          <w:tcPr>
            <w:tcW w:w="9593" w:type="dxa"/>
            <w:vMerge w:val="restart"/>
            <w:noWrap w:val="0"/>
            <w:vAlign w:val="center"/>
          </w:tcPr>
          <w:p>
            <w:pPr>
              <w:widowControl/>
              <w:jc w:val="left"/>
              <w:textAlignment w:val="top"/>
              <w:rPr>
                <w:rFonts w:ascii="Times New Roman" w:hAnsi="Times New Roman"/>
                <w:color w:val="000000"/>
                <w:kern w:val="0"/>
                <w:sz w:val="24"/>
                <w:lang w:bidi="ar"/>
              </w:rPr>
            </w:pPr>
            <w:r>
              <w:rPr>
                <w:rFonts w:ascii="Times New Roman" w:hAnsi="Times New Roman"/>
                <w:color w:val="000000"/>
                <w:kern w:val="0"/>
                <w:sz w:val="24"/>
                <w:lang w:bidi="ar"/>
              </w:rPr>
              <w:t>2013年至2018年，为在攸县湘东水果花卉交易市场建设、攸县城市夜景照明工程二标段等项目中谋取不正当利益，株洲国辉建材有限责任公司原法定代表人陈辉向攸县县委原书记谭润洪行贿。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  辉</w:t>
            </w:r>
          </w:p>
        </w:tc>
        <w:tc>
          <w:tcPr>
            <w:tcW w:w="2559"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430221197501080833</w:t>
            </w:r>
          </w:p>
        </w:tc>
        <w:tc>
          <w:tcPr>
            <w:tcW w:w="9593" w:type="dxa"/>
            <w:vMerge w:val="continue"/>
            <w:noWrap w:val="0"/>
            <w:vAlign w:val="center"/>
          </w:tcPr>
          <w:p>
            <w:pPr>
              <w:widowControl/>
              <w:jc w:val="left"/>
              <w:textAlignment w:val="top"/>
              <w:rPr>
                <w:rFonts w:ascii="Times New Roman" w:hAnsi="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张声府</w:t>
            </w:r>
          </w:p>
        </w:tc>
        <w:tc>
          <w:tcPr>
            <w:tcW w:w="2559"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430425197404237815</w:t>
            </w:r>
          </w:p>
        </w:tc>
        <w:tc>
          <w:tcPr>
            <w:tcW w:w="9593"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2015年至2017年，为在常宁市青阳广场提质改造、南二环建设等项目中谋取不正当利益，张声府向常宁市城市和农村建设投资有限公司原董事长郭雄行贿。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王校星</w:t>
            </w:r>
          </w:p>
        </w:tc>
        <w:tc>
          <w:tcPr>
            <w:tcW w:w="2559"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430322195611190016</w:t>
            </w:r>
          </w:p>
        </w:tc>
        <w:tc>
          <w:tcPr>
            <w:tcW w:w="9593"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2010年至2015年，为在湘乡市南岸水乡等项目中谋取不正当利益，王校星向湘乡市房产局原局长周溪建行贿。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黄选乐</w:t>
            </w:r>
          </w:p>
        </w:tc>
        <w:tc>
          <w:tcPr>
            <w:tcW w:w="2559"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432401196004274023</w:t>
            </w:r>
          </w:p>
        </w:tc>
        <w:tc>
          <w:tcPr>
            <w:tcW w:w="9593"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2013年至2018年，为在常德市洞庭大道东延线工程、市一医院新住院大楼内部装饰工程等项目中谋取不正当利益，黄选乐向常德市经济建设投资集团有限公司原董事长刘凡荣、常德市第一人民医院原院长向绪林行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刘德勇</w:t>
            </w:r>
          </w:p>
        </w:tc>
        <w:tc>
          <w:tcPr>
            <w:tcW w:w="2559"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430423196610270010</w:t>
            </w:r>
          </w:p>
        </w:tc>
        <w:tc>
          <w:tcPr>
            <w:tcW w:w="9593"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2015年至2019年，为在衡山县毛泽建公园项目景观土方工程等项目中谋取不正当利益，刘德勇向衡山县住房和城乡建设局原副局长欧正衡行贿。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2" w:type="dxa"/>
            <w:noWrap w:val="0"/>
            <w:vAlign w:val="center"/>
          </w:tcPr>
          <w:p>
            <w:pPr>
              <w:jc w:val="center"/>
              <w:rPr>
                <w:rFonts w:ascii="Times New Roman" w:hAnsi="Times New Roman"/>
                <w:color w:val="000000"/>
                <w:sz w:val="24"/>
              </w:rPr>
            </w:pPr>
            <w:r>
              <w:rPr>
                <w:rFonts w:ascii="Times New Roman" w:hAnsi="Times New Roman"/>
                <w:color w:val="000000"/>
                <w:sz w:val="24"/>
              </w:rPr>
              <w:t>7</w:t>
            </w:r>
          </w:p>
        </w:tc>
        <w:tc>
          <w:tcPr>
            <w:tcW w:w="1662" w:type="dxa"/>
            <w:noWrap w:val="0"/>
            <w:vAlign w:val="center"/>
          </w:tcPr>
          <w:p>
            <w:pPr>
              <w:jc w:val="center"/>
              <w:rPr>
                <w:rFonts w:ascii="Times New Roman" w:hAnsi="Times New Roman"/>
                <w:color w:val="000000"/>
                <w:sz w:val="24"/>
              </w:rPr>
            </w:pPr>
            <w:r>
              <w:rPr>
                <w:rFonts w:ascii="Times New Roman" w:hAnsi="Times New Roman"/>
                <w:color w:val="000000"/>
                <w:sz w:val="24"/>
              </w:rPr>
              <w:t>骆  阳</w:t>
            </w:r>
          </w:p>
        </w:tc>
        <w:tc>
          <w:tcPr>
            <w:tcW w:w="2559" w:type="dxa"/>
            <w:noWrap w:val="0"/>
            <w:vAlign w:val="center"/>
          </w:tcPr>
          <w:p>
            <w:pPr>
              <w:jc w:val="center"/>
              <w:rPr>
                <w:rFonts w:ascii="Times New Roman" w:hAnsi="Times New Roman"/>
                <w:color w:val="000000"/>
                <w:sz w:val="24"/>
              </w:rPr>
            </w:pPr>
            <w:r>
              <w:rPr>
                <w:rFonts w:ascii="Times New Roman" w:hAnsi="Times New Roman"/>
                <w:color w:val="000000"/>
                <w:sz w:val="24"/>
              </w:rPr>
              <w:t>430121198005217916</w:t>
            </w:r>
          </w:p>
        </w:tc>
        <w:tc>
          <w:tcPr>
            <w:tcW w:w="9593" w:type="dxa"/>
            <w:noWrap w:val="0"/>
            <w:vAlign w:val="center"/>
          </w:tcPr>
          <w:p>
            <w:pPr>
              <w:jc w:val="left"/>
              <w:rPr>
                <w:rFonts w:ascii="Times New Roman" w:hAnsi="Times New Roman"/>
                <w:color w:val="000000"/>
                <w:kern w:val="0"/>
                <w:sz w:val="24"/>
              </w:rPr>
            </w:pPr>
            <w:r>
              <w:rPr>
                <w:rFonts w:ascii="Times New Roman" w:hAnsi="Times New Roman"/>
                <w:color w:val="000000"/>
                <w:sz w:val="24"/>
              </w:rPr>
              <w:t>2010年至2015年，为在安仁县永定灌区、长沙县中小河流治理等项目中谋取不正当利益，骆阳向湖南省水利厅原巡视员刘佩亚行贿。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2"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w:t>
            </w:r>
          </w:p>
        </w:tc>
        <w:tc>
          <w:tcPr>
            <w:tcW w:w="1662"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杨建新</w:t>
            </w:r>
          </w:p>
        </w:tc>
        <w:tc>
          <w:tcPr>
            <w:tcW w:w="2559"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433124197301319014</w:t>
            </w:r>
          </w:p>
        </w:tc>
        <w:tc>
          <w:tcPr>
            <w:tcW w:w="9593"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2013年至2020年，为在泸溪县白沙城区主干道提质改造工程等项目中谋取不正当利益，杨建新向泸溪县公路管理局原局长杨昭君、原工会主席杨雨保行贿。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李采瑞</w:t>
            </w:r>
          </w:p>
        </w:tc>
        <w:tc>
          <w:tcPr>
            <w:tcW w:w="2559"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430322196303051019</w:t>
            </w:r>
          </w:p>
        </w:tc>
        <w:tc>
          <w:tcPr>
            <w:tcW w:w="9593"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2008年至2017年，为在湘乡市南岸水乡等项目中谋取不正当利益，李采瑞向湘乡市城市建设开发公司原总经理陈荣庆行贿，并违法对湘乡市状元楼项目进行串通投标。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66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唐铁美</w:t>
            </w:r>
          </w:p>
        </w:tc>
        <w:tc>
          <w:tcPr>
            <w:tcW w:w="2559"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430521197202090018</w:t>
            </w:r>
          </w:p>
        </w:tc>
        <w:tc>
          <w:tcPr>
            <w:tcW w:w="9593"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2009年至2018年，为在邵阳市文化艺术中心建设等项目中谋取不正当利益，唐铁美向邵阳市委原常委、副市长周国利和邵阳市规划局原局长金晚球行贿，并违法对工程项目进行串通投标。</w:t>
            </w:r>
          </w:p>
        </w:tc>
      </w:tr>
    </w:tbl>
    <w:p>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21</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2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2021-08-10T00:33:05Z</dcterms:created>
  <dc:creator>Administrator</dc:creator>
  <cp:lastModifiedBy>易礼</cp:lastModifiedBy>
  <dcterms:modified xsi:type="dcterms:W3CDTF">2021-08-10T00:33:28Z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015A5CFBC0CD4F9DA87E4C8E997D68E8</vt:lpwstr>
  </property>
</Properties>
</file>