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hd w:val="clear" w:color="auto" w:fill="FFFFFF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符合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乙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级规划资质条件的规划编制单位名单</w:t>
      </w:r>
    </w:p>
    <w:p>
      <w:pPr>
        <w:widowControl/>
        <w:shd w:val="clear" w:color="auto" w:fill="FFFFFF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（第十二批）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850"/>
        <w:gridCol w:w="141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申报类型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审查结果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湖南省地质灾害调查监测所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城乡规划乙级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通过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湖南省地质调查所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城乡规划乙级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通过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湖南长理设计咨询有限公司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城乡规划乙级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通过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湖南省第三测绘院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城乡规划乙级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通过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湖南省自然资源调查所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城乡规划乙级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通过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长沙城市规划设计咨询有限公司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城乡规划乙级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通过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延  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中航长沙设计研究院有限公司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城乡规划乙级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通过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延  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湖南省锦麒设计咨询有限责任公司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城乡规划乙级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通过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bidi="ar"/>
              </w:rPr>
              <w:t>延  续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2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2022-07-01T12:53:48Z</dcterms:created>
  <dc:creator>xiaoqiangqiang</dc:creator>
  <cp:lastModifiedBy>易礼</cp:lastModifiedBy>
  <dcterms:modified xsi:type="dcterms:W3CDTF">2022-07-01T12:54:13Z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824D9619AB9043F3A58AB976991A61C4</vt:lpwstr>
  </property>
</Properties>
</file>