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4AF7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生态修复创新适用技术名录推荐名单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551"/>
        <w:gridCol w:w="2520"/>
        <w:gridCol w:w="2508"/>
        <w:gridCol w:w="2857"/>
        <w:gridCol w:w="1614"/>
        <w:gridCol w:w="2236"/>
        <w:gridCol w:w="1774"/>
      </w:tblGrid>
      <w:tr w14:paraId="5CEE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8" w:hRule="atLeast"/>
          <w:jc w:val="center"/>
        </w:trPr>
        <w:tc>
          <w:tcPr>
            <w:tcW w:w="196" w:type="pct"/>
            <w:vAlign w:val="center"/>
          </w:tcPr>
          <w:p w14:paraId="7771ED04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编号</w:t>
            </w:r>
          </w:p>
        </w:tc>
        <w:tc>
          <w:tcPr>
            <w:tcW w:w="896" w:type="pct"/>
            <w:vAlign w:val="center"/>
          </w:tcPr>
          <w:p w14:paraId="12234E8C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技术名称</w:t>
            </w:r>
          </w:p>
        </w:tc>
        <w:tc>
          <w:tcPr>
            <w:tcW w:w="892" w:type="pct"/>
            <w:vAlign w:val="center"/>
          </w:tcPr>
          <w:p w14:paraId="40C3ACB0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技术领域</w:t>
            </w:r>
          </w:p>
        </w:tc>
        <w:tc>
          <w:tcPr>
            <w:tcW w:w="1016" w:type="pct"/>
            <w:vAlign w:val="center"/>
          </w:tcPr>
          <w:p w14:paraId="2C5B4D20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"/>
              </w:rPr>
              <w:t>主要技术内容</w:t>
            </w:r>
          </w:p>
        </w:tc>
        <w:tc>
          <w:tcPr>
            <w:tcW w:w="574" w:type="pct"/>
            <w:vAlign w:val="center"/>
          </w:tcPr>
          <w:p w14:paraId="70D35171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"/>
              </w:rPr>
              <w:t>适用</w:t>
            </w:r>
          </w:p>
          <w:p w14:paraId="0108322D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Cs w:val="21"/>
                <w:lang w:val="e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"/>
              </w:rPr>
              <w:t>条件</w:t>
            </w:r>
          </w:p>
        </w:tc>
        <w:tc>
          <w:tcPr>
            <w:tcW w:w="795" w:type="pct"/>
            <w:vAlign w:val="center"/>
          </w:tcPr>
          <w:p w14:paraId="11A9C89D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申报单位</w:t>
            </w:r>
          </w:p>
        </w:tc>
        <w:tc>
          <w:tcPr>
            <w:tcW w:w="631" w:type="pct"/>
            <w:vAlign w:val="center"/>
          </w:tcPr>
          <w:p w14:paraId="65C04E05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主要完成人</w:t>
            </w:r>
          </w:p>
        </w:tc>
      </w:tr>
      <w:tr w14:paraId="3263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9" w:hRule="atLeast"/>
          <w:jc w:val="center"/>
        </w:trPr>
        <w:tc>
          <w:tcPr>
            <w:tcW w:w="196" w:type="pct"/>
            <w:vAlign w:val="center"/>
          </w:tcPr>
          <w:p w14:paraId="3E344159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1</w:t>
            </w:r>
          </w:p>
        </w:tc>
        <w:tc>
          <w:tcPr>
            <w:tcW w:w="896" w:type="pct"/>
            <w:vAlign w:val="center"/>
          </w:tcPr>
          <w:p w14:paraId="69E4B343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多孔硅基超稳成矿化材料修复多金属污染土壤技术</w:t>
            </w:r>
          </w:p>
        </w:tc>
        <w:tc>
          <w:tcPr>
            <w:tcW w:w="892" w:type="pct"/>
            <w:vAlign w:val="center"/>
          </w:tcPr>
          <w:p w14:paraId="2E2E26F6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山水林田湖草沙一体化生态保护修复</w:t>
            </w:r>
          </w:p>
        </w:tc>
        <w:tc>
          <w:tcPr>
            <w:tcW w:w="1016" w:type="pct"/>
            <w:vAlign w:val="center"/>
          </w:tcPr>
          <w:p w14:paraId="7CAF1AE1">
            <w:pPr>
              <w:spacing w:line="280" w:lineRule="exact"/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bookmarkStart w:id="0" w:name="OLE_LINK133"/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（1）</w:t>
            </w:r>
            <w:r>
              <w:rPr>
                <w:rFonts w:hint="eastAsia" w:ascii="Times New Roman" w:hAnsi="Times New Roman" w:eastAsia="仿宋_GB2312"/>
                <w:szCs w:val="21"/>
              </w:rPr>
              <w:t>提出</w:t>
            </w: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“多齿锚定同步定向矿化”设计理念，确立了超低溶度积（Ksp）矿化产物的多相态靶向调控原则，研制出多孔硅基超稳成矿化系列材料，构建了微纳尺度多功能矿化组元宏量掺杂技术体系，实现了多元重金属的同步高效锚定；</w:t>
            </w:r>
          </w:p>
          <w:p w14:paraId="464CBFF5">
            <w:pPr>
              <w:spacing w:line="280" w:lineRule="exact"/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（2）揭示了多元重金属同步定向成矿与长效稳定机理，阐明了阳离子同晶取代形成类磷灰石、阴离子共沉淀形成图水羟砷铁矾/臭葱石的矿化路径，验证了极端环境下修复产物的化学稳定性与长效性；</w:t>
            </w:r>
          </w:p>
          <w:p w14:paraId="73845A88">
            <w:pPr>
              <w:spacing w:line="280" w:lineRule="exact"/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（3）构建了土壤重金属原位精准矿化修复与评价技术体系， 针对不同土质与复合污染特征，建立了涵盖稳定化效率、环境风险及土地安全利用的多维效果评价模型。</w:t>
            </w:r>
            <w:bookmarkEnd w:id="0"/>
          </w:p>
        </w:tc>
        <w:tc>
          <w:tcPr>
            <w:tcW w:w="574" w:type="pct"/>
            <w:vAlign w:val="center"/>
          </w:tcPr>
          <w:p w14:paraId="04FA7B49">
            <w:pPr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技术适用于因镉、铅、砷、锑、铬(VI)、铜、锌、镍等重金属元素超标引起的单一或</w:t>
            </w:r>
            <w:r>
              <w:rPr>
                <w:rFonts w:hint="eastAsia" w:ascii="Times New Roman" w:hAnsi="Times New Roman" w:eastAsia="仿宋_GB2312"/>
                <w:szCs w:val="21"/>
              </w:rPr>
              <w:t>多元</w:t>
            </w: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重金属污染土壤的生态修复工程</w:t>
            </w:r>
          </w:p>
        </w:tc>
        <w:tc>
          <w:tcPr>
            <w:tcW w:w="795" w:type="pct"/>
            <w:vAlign w:val="center"/>
          </w:tcPr>
          <w:p w14:paraId="0F61A58C">
            <w:pPr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中南大学、湖南省地质地理信息所（湖南省地质大数据中心）</w:t>
            </w:r>
          </w:p>
        </w:tc>
        <w:tc>
          <w:tcPr>
            <w:tcW w:w="631" w:type="pct"/>
            <w:vAlign w:val="center"/>
          </w:tcPr>
          <w:p w14:paraId="1B110512">
            <w:pPr>
              <w:outlineLvl w:val="0"/>
              <w:rPr>
                <w:rFonts w:ascii="Times New Roman" w:hAnsi="Times New Roman" w:eastAsia="仿宋_GB2312"/>
                <w:szCs w:val="21"/>
                <w:lang w:val="e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"/>
              </w:rPr>
              <w:t>李骞，张雁，何仕超，尹哲，许瑞，南小龙，蒋国清，金胜明，杨永斌，姜涛</w:t>
            </w:r>
          </w:p>
        </w:tc>
      </w:tr>
    </w:tbl>
    <w:p w14:paraId="2B3D0B72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C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2025-12-24T01:07:56Z</dcterms:created>
  <dc:creator>Administrator</dc:creator>
  <cp:lastModifiedBy>liangl8816</cp:lastModifiedBy>
  <dcterms:modified xsi:type="dcterms:W3CDTF">2025-12-24T01:08:05Z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0FA9629EFB7240EF92AB5923416B5029_12</vt:lpwstr>
  </property>
</Properties>
</file>