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CE7D2">
      <w:pPr>
        <w:spacing w:line="240" w:lineRule="auto"/>
        <w:rPr>
          <w:rFonts w:hint="default" w:ascii="Nimbus Roman No9 L" w:hAnsi="Nimbus Roman No9 L" w:eastAsia="黑体" w:cs="Nimbus Roman No9 L"/>
          <w:color w:val="auto"/>
          <w:sz w:val="32"/>
          <w:szCs w:val="32"/>
          <w:lang w:val="en-US" w:eastAsia="zh-CN"/>
        </w:rPr>
      </w:pPr>
      <w:r>
        <w:rPr>
          <w:rFonts w:hint="default" w:ascii="Nimbus Roman No9 L" w:hAnsi="Nimbus Roman No9 L" w:eastAsia="黑体" w:cs="Nimbus Roman No9 L"/>
          <w:color w:val="auto"/>
          <w:sz w:val="32"/>
          <w:szCs w:val="32"/>
          <w:lang w:val="en-US" w:eastAsia="zh-CN"/>
        </w:rPr>
        <w:t>附件1</w:t>
      </w:r>
    </w:p>
    <w:p w14:paraId="05D74EE7">
      <w:pPr>
        <w:pStyle w:val="3"/>
        <w:rPr>
          <w:rFonts w:hint="default" w:ascii="Nimbus Roman No9 L" w:hAnsi="Nimbus Roman No9 L" w:eastAsia="宋体" w:cs="Nimbus Roman No9 L"/>
          <w:sz w:val="32"/>
          <w:szCs w:val="32"/>
          <w:lang w:val="en-US" w:eastAsia="zh-CN"/>
        </w:rPr>
      </w:pPr>
    </w:p>
    <w:p w14:paraId="6B6B73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Autospacing="0" w:line="240" w:lineRule="auto"/>
        <w:ind w:right="420"/>
        <w:jc w:val="center"/>
        <w:textAlignment w:val="auto"/>
        <w:rPr>
          <w:rFonts w:hint="default" w:ascii="Nimbus Roman No9 L" w:hAnsi="Nimbus Roman No9 L" w:eastAsia="华文中宋" w:cs="Nimbus Roman No9 L"/>
          <w:b/>
          <w:bCs/>
          <w:i w:val="0"/>
          <w:iCs w:val="0"/>
          <w:caps w:val="0"/>
          <w:color w:val="auto"/>
          <w:spacing w:val="0"/>
          <w:kern w:val="0"/>
          <w:sz w:val="44"/>
          <w:szCs w:val="44"/>
          <w:shd w:val="clear" w:fill="FFFFFF"/>
          <w:lang w:val="en-US" w:eastAsia="zh-CN" w:bidi="ar"/>
        </w:rPr>
      </w:pPr>
      <w:r>
        <w:rPr>
          <w:rFonts w:hint="default" w:ascii="Nimbus Roman No9 L" w:hAnsi="Nimbus Roman No9 L" w:eastAsia="方正小标宋_GBK" w:cs="Nimbus Roman No9 L"/>
          <w:b w:val="0"/>
          <w:bCs w:val="0"/>
          <w:i w:val="0"/>
          <w:iCs w:val="0"/>
          <w:caps w:val="0"/>
          <w:color w:val="auto"/>
          <w:spacing w:val="0"/>
          <w:kern w:val="0"/>
          <w:sz w:val="44"/>
          <w:szCs w:val="44"/>
          <w:shd w:val="clear" w:fill="FFFFFF"/>
          <w:lang w:val="en-US" w:eastAsia="zh-CN" w:bidi="ar"/>
        </w:rPr>
        <w:t>重大科技项目任务榜单</w:t>
      </w:r>
    </w:p>
    <w:p w14:paraId="4AA09259">
      <w:pPr>
        <w:overflowPunct w:val="0"/>
        <w:snapToGrid w:val="0"/>
        <w:spacing w:line="630" w:lineRule="exact"/>
        <w:ind w:firstLine="641" w:firstLineChars="200"/>
        <w:rPr>
          <w:rFonts w:hint="default" w:ascii="Nimbus Roman No9 L" w:hAnsi="Nimbus Roman No9 L" w:eastAsia="华文细黑" w:cs="Nimbus Roman No9 L"/>
          <w:b/>
          <w:bCs/>
          <w:color w:val="auto"/>
          <w:kern w:val="0"/>
          <w:sz w:val="32"/>
          <w:lang w:val="en-US" w:eastAsia="zh-CN"/>
        </w:rPr>
      </w:pPr>
    </w:p>
    <w:p w14:paraId="02702C51">
      <w:pPr>
        <w:keepNext w:val="0"/>
        <w:keepLines w:val="0"/>
        <w:pageBreakBefore w:val="0"/>
        <w:widowControl w:val="0"/>
        <w:kinsoku/>
        <w:wordWrap/>
        <w:overflowPunct w:val="0"/>
        <w:topLinePunct w:val="0"/>
        <w:autoSpaceDE/>
        <w:autoSpaceDN/>
        <w:bidi w:val="0"/>
        <w:adjustRightInd w:val="0"/>
        <w:snapToGrid w:val="0"/>
        <w:spacing w:line="630" w:lineRule="exact"/>
        <w:ind w:firstLine="640" w:firstLineChars="200"/>
        <w:textAlignment w:val="auto"/>
        <w:rPr>
          <w:rFonts w:hint="default" w:ascii="Nimbus Roman No9 L" w:hAnsi="Nimbus Roman No9 L" w:eastAsia="华文细黑" w:cs="Nimbus Roman No9 L"/>
          <w:b/>
          <w:bCs/>
          <w:color w:val="auto"/>
          <w:kern w:val="0"/>
          <w:sz w:val="32"/>
          <w:lang w:val="en-US" w:eastAsia="zh-CN"/>
        </w:rPr>
      </w:pPr>
      <w:r>
        <w:rPr>
          <w:rFonts w:hint="default" w:ascii="Nimbus Roman No9 L" w:hAnsi="Nimbus Roman No9 L" w:eastAsia="黑体" w:cs="Nimbus Roman No9 L"/>
          <w:b w:val="0"/>
          <w:bCs w:val="0"/>
          <w:color w:val="auto"/>
          <w:kern w:val="0"/>
          <w:sz w:val="32"/>
          <w:lang w:val="en-US" w:eastAsia="zh-CN"/>
        </w:rPr>
        <w:t>一、</w:t>
      </w:r>
      <w:r>
        <w:rPr>
          <w:rFonts w:hint="default" w:ascii="Nimbus Roman No9 L" w:hAnsi="Nimbus Roman No9 L" w:eastAsia="黑体" w:cs="Nimbus Roman No9 L"/>
          <w:b w:val="0"/>
          <w:bCs w:val="0"/>
          <w:color w:val="auto"/>
          <w:sz w:val="32"/>
          <w:szCs w:val="32"/>
        </w:rPr>
        <w:t>实景三维轻量化开放共享应用关键技术研究</w:t>
      </w:r>
    </w:p>
    <w:p w14:paraId="4DC4C541">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sz w:val="32"/>
        </w:rPr>
      </w:pPr>
      <w:r>
        <w:rPr>
          <w:rFonts w:hint="default" w:ascii="Nimbus Roman No9 L" w:hAnsi="Nimbus Roman No9 L" w:eastAsia="楷体_GB2312" w:cs="Nimbus Roman No9 L"/>
          <w:b/>
          <w:bCs/>
          <w:color w:val="auto"/>
          <w:kern w:val="0"/>
          <w:sz w:val="32"/>
        </w:rPr>
        <w:t>关键技术攻关：</w:t>
      </w:r>
      <w:r>
        <w:rPr>
          <w:rFonts w:hint="default" w:ascii="Nimbus Roman No9 L" w:hAnsi="Nimbus Roman No9 L" w:eastAsia="仿宋_GB2312" w:cs="Nimbus Roman No9 L"/>
          <w:color w:val="auto"/>
          <w:sz w:val="32"/>
        </w:rPr>
        <w:t>针对实景三维数据体量巨大、涉密处理复杂及跨网域共享应用受限等问题，开展实景三维轻量化开放共享关键技术研究。研究面向开放共享应用的实景三维轻量化数据模型，探索高精度三维模型向“影像+深度信息”等轻量化数据形式的转换方法，降低数据应用门槛；研究复杂场景条件下的最佳观测视角与高保真降维采集技术，实现三维场景向图像数据的低损转换，形成可在互联网环境流通的图像数据；研究图像数据的时空关联编码与高压缩比存储技术，提高海量图像数据在云端环境下的存储、管理与传输效率；研究基于图像的局部三维场景按需更新与快速重建技术，实现三维场景的快速增量重建与更新；构建实景三维轻量化开放共享应用工具平台原型，在低空经济与自然资源监管等领域开展典型应用示范。</w:t>
      </w:r>
    </w:p>
    <w:p w14:paraId="7A4710B4">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sz w:val="32"/>
          <w:highlight w:val="none"/>
          <w:lang w:val="en-US" w:eastAsia="zh-CN"/>
        </w:rPr>
      </w:pPr>
      <w:r>
        <w:rPr>
          <w:rFonts w:hint="default" w:ascii="Nimbus Roman No9 L" w:hAnsi="Nimbus Roman No9 L" w:eastAsia="楷体_GB2312" w:cs="Nimbus Roman No9 L"/>
          <w:b/>
          <w:bCs/>
          <w:color w:val="auto"/>
          <w:kern w:val="0"/>
          <w:sz w:val="32"/>
        </w:rPr>
        <w:t>预期成果：</w:t>
      </w:r>
      <w:r>
        <w:rPr>
          <w:rFonts w:hint="default" w:ascii="Nimbus Roman No9 L" w:hAnsi="Nimbus Roman No9 L" w:eastAsia="仿宋_GB2312" w:cs="Nimbus Roman No9 L"/>
          <w:color w:val="auto"/>
          <w:sz w:val="32"/>
          <w:highlight w:val="none"/>
          <w:lang w:val="en-US" w:eastAsia="zh-CN"/>
        </w:rPr>
        <w:t>构建实景三维轻量化开放共享应用工具平台1套，研制相关技术标准1项，在土地利用管理、低空巡检等方向落地典型应用场景不少于2个，面积不少于50平方公里，三维更新接边处几何偏差小于10cm；授权国家发明专利2项，取得软件著作权2项，发表高水平学术论文2篇，其中SCI中科院分区1区论文不少于1篇；培养一支掌握Geo-AI前沿技术、具备实景三维动态构建与智能应用能力的复合型科研团队。</w:t>
      </w:r>
    </w:p>
    <w:p w14:paraId="5BBC540E">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kern w:val="0"/>
          <w:sz w:val="32"/>
        </w:rPr>
      </w:pPr>
      <w:r>
        <w:rPr>
          <w:rFonts w:hint="default" w:ascii="Nimbus Roman No9 L" w:hAnsi="Nimbus Roman No9 L" w:eastAsia="楷体_GB2312" w:cs="Nimbus Roman No9 L"/>
          <w:b/>
          <w:bCs/>
          <w:color w:val="auto"/>
          <w:kern w:val="0"/>
          <w:sz w:val="32"/>
        </w:rPr>
        <w:t>实施周期：</w:t>
      </w:r>
      <w:r>
        <w:rPr>
          <w:rFonts w:hint="default" w:ascii="Nimbus Roman No9 L" w:hAnsi="Nimbus Roman No9 L" w:eastAsia="仿宋_GB2312" w:cs="Nimbus Roman No9 L"/>
          <w:color w:val="auto"/>
          <w:kern w:val="0"/>
          <w:sz w:val="32"/>
        </w:rPr>
        <w:t>不超过</w:t>
      </w:r>
      <w:r>
        <w:rPr>
          <w:rFonts w:hint="default" w:ascii="Nimbus Roman No9 L" w:hAnsi="Nimbus Roman No9 L" w:eastAsia="仿宋_GB2312" w:cs="Nimbus Roman No9 L"/>
          <w:i w:val="0"/>
          <w:iCs w:val="0"/>
          <w:caps w:val="0"/>
          <w:color w:val="auto"/>
          <w:spacing w:val="24"/>
          <w:kern w:val="0"/>
          <w:sz w:val="32"/>
          <w:szCs w:val="32"/>
          <w:shd w:val="clear" w:fill="FFFFFF"/>
          <w:lang w:val="en-US" w:eastAsia="zh-CN" w:bidi="ar"/>
        </w:rPr>
        <w:t>3</w:t>
      </w:r>
      <w:r>
        <w:rPr>
          <w:rFonts w:hint="default" w:ascii="Nimbus Roman No9 L" w:hAnsi="Nimbus Roman No9 L" w:eastAsia="仿宋_GB2312" w:cs="Nimbus Roman No9 L"/>
          <w:color w:val="auto"/>
          <w:kern w:val="0"/>
          <w:sz w:val="32"/>
        </w:rPr>
        <w:t>年。</w:t>
      </w:r>
    </w:p>
    <w:p w14:paraId="5B7E565E">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kern w:val="0"/>
          <w:sz w:val="32"/>
        </w:rPr>
      </w:pPr>
      <w:r>
        <w:rPr>
          <w:rFonts w:hint="default" w:ascii="Nimbus Roman No9 L" w:hAnsi="Nimbus Roman No9 L" w:eastAsia="楷体_GB2312" w:cs="Nimbus Roman No9 L"/>
          <w:b/>
          <w:bCs/>
          <w:color w:val="auto"/>
          <w:kern w:val="0"/>
          <w:sz w:val="32"/>
        </w:rPr>
        <w:t>补助金额：</w:t>
      </w:r>
      <w:r>
        <w:rPr>
          <w:rFonts w:hint="default" w:ascii="Nimbus Roman No9 L" w:hAnsi="Nimbus Roman No9 L" w:eastAsia="仿宋_GB2312" w:cs="Nimbus Roman No9 L"/>
          <w:color w:val="auto"/>
          <w:kern w:val="0"/>
          <w:sz w:val="32"/>
        </w:rPr>
        <w:t>不超过100万元</w:t>
      </w:r>
      <w:r>
        <w:rPr>
          <w:rFonts w:hint="default" w:ascii="Nimbus Roman No9 L" w:hAnsi="Nimbus Roman No9 L" w:eastAsia="仿宋_GB2312" w:cs="Nimbus Roman No9 L"/>
          <w:color w:val="auto"/>
          <w:kern w:val="0"/>
          <w:sz w:val="32"/>
          <w:lang w:eastAsia="zh-CN"/>
        </w:rPr>
        <w:t>（含）</w:t>
      </w:r>
      <w:r>
        <w:rPr>
          <w:rFonts w:hint="default" w:ascii="Nimbus Roman No9 L" w:hAnsi="Nimbus Roman No9 L" w:eastAsia="仿宋_GB2312" w:cs="Nimbus Roman No9 L"/>
          <w:color w:val="auto"/>
          <w:kern w:val="0"/>
          <w:sz w:val="32"/>
        </w:rPr>
        <w:t>。</w:t>
      </w:r>
    </w:p>
    <w:p w14:paraId="755377EA">
      <w:pPr>
        <w:keepNext w:val="0"/>
        <w:keepLines w:val="0"/>
        <w:pageBreakBefore w:val="0"/>
        <w:widowControl w:val="0"/>
        <w:kinsoku/>
        <w:wordWrap/>
        <w:overflowPunct w:val="0"/>
        <w:topLinePunct w:val="0"/>
        <w:autoSpaceDE/>
        <w:autoSpaceDN/>
        <w:bidi w:val="0"/>
        <w:adjustRightInd w:val="0"/>
        <w:snapToGrid w:val="0"/>
        <w:spacing w:line="630" w:lineRule="exact"/>
        <w:ind w:firstLine="640" w:firstLineChars="200"/>
        <w:textAlignment w:val="auto"/>
        <w:rPr>
          <w:rFonts w:hint="default" w:ascii="Nimbus Roman No9 L" w:hAnsi="Nimbus Roman No9 L" w:eastAsia="华文细黑" w:cs="Nimbus Roman No9 L"/>
          <w:b/>
          <w:bCs/>
          <w:color w:val="auto"/>
          <w:kern w:val="0"/>
          <w:sz w:val="32"/>
          <w:lang w:val="en-US" w:eastAsia="zh-CN"/>
        </w:rPr>
      </w:pPr>
      <w:r>
        <w:rPr>
          <w:rFonts w:hint="default" w:ascii="Nimbus Roman No9 L" w:hAnsi="Nimbus Roman No9 L" w:eastAsia="黑体" w:cs="Nimbus Roman No9 L"/>
          <w:b w:val="0"/>
          <w:bCs w:val="0"/>
          <w:color w:val="auto"/>
          <w:kern w:val="0"/>
          <w:sz w:val="32"/>
          <w:lang w:val="en-US" w:eastAsia="zh-CN"/>
        </w:rPr>
        <w:t>二、地理时空大模型构建关键技术研究及应用示范</w:t>
      </w:r>
    </w:p>
    <w:p w14:paraId="32A6EF3E">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sz w:val="32"/>
          <w:highlight w:val="none"/>
          <w:lang w:val="en-US" w:eastAsia="zh-CN"/>
        </w:rPr>
      </w:pPr>
      <w:r>
        <w:rPr>
          <w:rFonts w:hint="default" w:ascii="Nimbus Roman No9 L" w:hAnsi="Nimbus Roman No9 L" w:eastAsia="楷体_GB2312" w:cs="Nimbus Roman No9 L"/>
          <w:b/>
          <w:bCs/>
          <w:color w:val="auto"/>
          <w:kern w:val="0"/>
          <w:sz w:val="32"/>
        </w:rPr>
        <w:t>关键技术攻关：</w:t>
      </w:r>
      <w:r>
        <w:rPr>
          <w:rFonts w:hint="default" w:ascii="Nimbus Roman No9 L" w:hAnsi="Nimbus Roman No9 L" w:eastAsia="仿宋_GB2312" w:cs="Nimbus Roman No9 L"/>
          <w:color w:val="auto"/>
          <w:sz w:val="32"/>
          <w:highlight w:val="none"/>
          <w:lang w:val="en-US" w:eastAsia="zh-CN"/>
        </w:rPr>
        <w:t>针对当前国土空间治理智能化水平提升、低空经济市场培育的重大需求，为解决当前地理时空智能计算中存在的多模态数据融合难、地理语义理解能力弱、业务协同链条长等问题，结合云计算、大数据、人工智能等新一代信息技术，开展地理时空大模型构建技术体系攻关，突破全息地理实体数据模型与多模态数据融合、三维格网划分与时空编码等关键技术，通过轻量化智能体工作流引擎实现</w:t>
      </w:r>
      <w:r>
        <w:rPr>
          <w:rFonts w:hint="default" w:ascii="Nimbus Roman No9 L" w:hAnsi="Nimbus Roman No9 L" w:eastAsia="仿宋_GB2312" w:cs="Nimbus Roman No9 L"/>
          <w:color w:val="auto"/>
          <w:sz w:val="32"/>
          <w:highlight w:val="none"/>
        </w:rPr>
        <w:t>“文本-规则-</w:t>
      </w:r>
      <w:r>
        <w:rPr>
          <w:rFonts w:hint="default" w:ascii="Nimbus Roman No9 L" w:hAnsi="Nimbus Roman No9 L" w:eastAsia="仿宋_GB2312" w:cs="Nimbus Roman No9 L"/>
          <w:color w:val="auto"/>
          <w:sz w:val="32"/>
          <w:highlight w:val="none"/>
          <w:lang w:val="en-US" w:eastAsia="zh-CN"/>
        </w:rPr>
        <w:t>时空数据</w:t>
      </w:r>
      <w:r>
        <w:rPr>
          <w:rFonts w:hint="default" w:ascii="Nimbus Roman No9 L" w:hAnsi="Nimbus Roman No9 L" w:eastAsia="仿宋_GB2312" w:cs="Nimbus Roman No9 L"/>
          <w:color w:val="auto"/>
          <w:sz w:val="32"/>
          <w:highlight w:val="none"/>
        </w:rPr>
        <w:t>”</w:t>
      </w:r>
      <w:r>
        <w:rPr>
          <w:rFonts w:hint="default" w:ascii="Nimbus Roman No9 L" w:hAnsi="Nimbus Roman No9 L" w:eastAsia="仿宋_GB2312" w:cs="Nimbus Roman No9 L"/>
          <w:color w:val="auto"/>
          <w:sz w:val="32"/>
          <w:highlight w:val="none"/>
          <w:lang w:val="en-US" w:eastAsia="zh-CN"/>
        </w:rPr>
        <w:t>关联</w:t>
      </w:r>
      <w:r>
        <w:rPr>
          <w:rFonts w:hint="default" w:ascii="Nimbus Roman No9 L" w:hAnsi="Nimbus Roman No9 L" w:eastAsia="仿宋_GB2312" w:cs="Nimbus Roman No9 L"/>
          <w:color w:val="auto"/>
          <w:sz w:val="32"/>
          <w:highlight w:val="none"/>
        </w:rPr>
        <w:t>，</w:t>
      </w:r>
      <w:r>
        <w:rPr>
          <w:rFonts w:hint="default" w:ascii="Nimbus Roman No9 L" w:hAnsi="Nimbus Roman No9 L" w:eastAsia="仿宋_GB2312" w:cs="Nimbus Roman No9 L"/>
          <w:color w:val="auto"/>
          <w:sz w:val="32"/>
          <w:highlight w:val="none"/>
          <w:lang w:val="en-US" w:eastAsia="zh-CN"/>
        </w:rPr>
        <w:t>支持</w:t>
      </w:r>
      <w:r>
        <w:rPr>
          <w:rFonts w:hint="default" w:ascii="Nimbus Roman No9 L" w:hAnsi="Nimbus Roman No9 L" w:eastAsia="仿宋_GB2312" w:cs="Nimbus Roman No9 L"/>
          <w:color w:val="auto"/>
          <w:sz w:val="32"/>
          <w:highlight w:val="none"/>
        </w:rPr>
        <w:t>自然语言查询</w:t>
      </w:r>
      <w:r>
        <w:rPr>
          <w:rFonts w:hint="default" w:ascii="Nimbus Roman No9 L" w:hAnsi="Nimbus Roman No9 L" w:eastAsia="仿宋_GB2312" w:cs="Nimbus Roman No9 L"/>
          <w:color w:val="auto"/>
          <w:sz w:val="32"/>
          <w:highlight w:val="none"/>
          <w:lang w:val="en-US" w:eastAsia="zh-CN"/>
        </w:rPr>
        <w:t>和</w:t>
      </w:r>
      <w:r>
        <w:rPr>
          <w:rFonts w:hint="default" w:ascii="Nimbus Roman No9 L" w:hAnsi="Nimbus Roman No9 L" w:eastAsia="仿宋_GB2312" w:cs="Nimbus Roman No9 L"/>
          <w:color w:val="auto"/>
          <w:sz w:val="32"/>
          <w:highlight w:val="none"/>
        </w:rPr>
        <w:t>空间分析结果可视化</w:t>
      </w:r>
      <w:r>
        <w:rPr>
          <w:rFonts w:hint="default" w:ascii="Nimbus Roman No9 L" w:hAnsi="Nimbus Roman No9 L" w:eastAsia="仿宋_GB2312" w:cs="Nimbus Roman No9 L"/>
          <w:color w:val="auto"/>
          <w:sz w:val="32"/>
          <w:highlight w:val="none"/>
          <w:lang w:eastAsia="zh-CN"/>
        </w:rPr>
        <w:t>，</w:t>
      </w:r>
      <w:r>
        <w:rPr>
          <w:rFonts w:hint="default" w:ascii="Nimbus Roman No9 L" w:hAnsi="Nimbus Roman No9 L" w:eastAsia="仿宋_GB2312" w:cs="Nimbus Roman No9 L"/>
          <w:color w:val="auto"/>
          <w:sz w:val="32"/>
          <w:highlight w:val="none"/>
          <w:lang w:val="en-US" w:eastAsia="zh-CN"/>
        </w:rPr>
        <w:t>构建“算力—数据—知识—业务”协同的地理时空智能基础底座，在自然资源</w:t>
      </w:r>
      <w:r>
        <w:rPr>
          <w:rFonts w:hint="default" w:ascii="Nimbus Roman No9 L" w:hAnsi="Nimbus Roman No9 L" w:eastAsia="仿宋_GB2312" w:cs="Nimbus Roman No9 L"/>
          <w:color w:val="auto"/>
          <w:spacing w:val="9"/>
          <w:sz w:val="31"/>
          <w:szCs w:val="31"/>
          <w:highlight w:val="none"/>
        </w:rPr>
        <w:t>要素市场化</w:t>
      </w:r>
      <w:r>
        <w:rPr>
          <w:rFonts w:hint="default" w:ascii="Nimbus Roman No9 L" w:hAnsi="Nimbus Roman No9 L" w:eastAsia="仿宋_GB2312" w:cs="Nimbus Roman No9 L"/>
          <w:color w:val="auto"/>
          <w:sz w:val="32"/>
          <w:highlight w:val="none"/>
          <w:lang w:val="en-US" w:eastAsia="zh-CN"/>
        </w:rPr>
        <w:t>、无人机物流航线规划设计等领域开展典型应用示范。</w:t>
      </w:r>
    </w:p>
    <w:p w14:paraId="0B7D8282">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sz w:val="32"/>
          <w:highlight w:val="none"/>
        </w:rPr>
      </w:pPr>
      <w:r>
        <w:rPr>
          <w:rFonts w:hint="default" w:ascii="Nimbus Roman No9 L" w:hAnsi="Nimbus Roman No9 L" w:eastAsia="楷体_GB2312" w:cs="Nimbus Roman No9 L"/>
          <w:b/>
          <w:bCs/>
          <w:color w:val="auto"/>
          <w:kern w:val="0"/>
          <w:sz w:val="32"/>
        </w:rPr>
        <w:t>预期成果：</w:t>
      </w:r>
      <w:r>
        <w:rPr>
          <w:rFonts w:hint="default" w:ascii="Nimbus Roman No9 L" w:hAnsi="Nimbus Roman No9 L" w:eastAsia="仿宋_GB2312" w:cs="Nimbus Roman No9 L"/>
          <w:color w:val="auto"/>
          <w:sz w:val="32"/>
          <w:highlight w:val="none"/>
        </w:rPr>
        <w:t>研发和部署“算力—数据—知识—业务”协同的地理时空智能基础底座1套；研发全息地理实体数据模型、三维格网划分与时空编码等技术方法。构建全息地理实体数据库，在不少于2个试点区域或县市，开展自然资源要素市场化、无人机物流航线规划设计等2个典型场景验证，形成可推广的应用报告；与至少1家机构签订技术转化协议，联合开展技术推广。授权国家发明专利不少于2项；取得软件著作权不少于2项；在SCI或国内中文核心期刊发表高水平学术论文不少于2篇，其中SCI中科院分区1区论文不少于1篇。</w:t>
      </w:r>
    </w:p>
    <w:p w14:paraId="26FF0CB0">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kern w:val="0"/>
          <w:sz w:val="32"/>
        </w:rPr>
      </w:pPr>
      <w:r>
        <w:rPr>
          <w:rFonts w:hint="default" w:ascii="Nimbus Roman No9 L" w:hAnsi="Nimbus Roman No9 L" w:eastAsia="楷体_GB2312" w:cs="Nimbus Roman No9 L"/>
          <w:b/>
          <w:bCs/>
          <w:color w:val="auto"/>
          <w:kern w:val="0"/>
          <w:sz w:val="32"/>
        </w:rPr>
        <w:t>实施周期：</w:t>
      </w:r>
      <w:r>
        <w:rPr>
          <w:rFonts w:hint="default" w:ascii="Nimbus Roman No9 L" w:hAnsi="Nimbus Roman No9 L" w:eastAsia="仿宋_GB2312" w:cs="Nimbus Roman No9 L"/>
          <w:color w:val="auto"/>
          <w:kern w:val="0"/>
          <w:sz w:val="32"/>
        </w:rPr>
        <w:t>不超过</w:t>
      </w:r>
      <w:r>
        <w:rPr>
          <w:rFonts w:hint="default" w:ascii="Nimbus Roman No9 L" w:hAnsi="Nimbus Roman No9 L" w:eastAsia="仿宋_GB2312" w:cs="Nimbus Roman No9 L"/>
          <w:i w:val="0"/>
          <w:iCs w:val="0"/>
          <w:caps w:val="0"/>
          <w:color w:val="auto"/>
          <w:spacing w:val="24"/>
          <w:kern w:val="0"/>
          <w:sz w:val="32"/>
          <w:szCs w:val="32"/>
          <w:shd w:val="clear" w:fill="FFFFFF"/>
          <w:lang w:val="en-US" w:eastAsia="zh-CN" w:bidi="ar"/>
        </w:rPr>
        <w:t>3</w:t>
      </w:r>
      <w:r>
        <w:rPr>
          <w:rFonts w:hint="default" w:ascii="Nimbus Roman No9 L" w:hAnsi="Nimbus Roman No9 L" w:eastAsia="仿宋_GB2312" w:cs="Nimbus Roman No9 L"/>
          <w:color w:val="auto"/>
          <w:kern w:val="0"/>
          <w:sz w:val="32"/>
        </w:rPr>
        <w:t>年。</w:t>
      </w:r>
    </w:p>
    <w:p w14:paraId="6A7FDC40">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kern w:val="0"/>
          <w:sz w:val="32"/>
          <w:lang w:eastAsia="zh-CN"/>
        </w:rPr>
      </w:pPr>
      <w:r>
        <w:rPr>
          <w:rFonts w:hint="default" w:ascii="Nimbus Roman No9 L" w:hAnsi="Nimbus Roman No9 L" w:eastAsia="楷体_GB2312" w:cs="Nimbus Roman No9 L"/>
          <w:b/>
          <w:bCs/>
          <w:color w:val="auto"/>
          <w:kern w:val="0"/>
          <w:sz w:val="32"/>
        </w:rPr>
        <w:t>补助金额：</w:t>
      </w:r>
      <w:r>
        <w:rPr>
          <w:rFonts w:hint="default" w:ascii="Nimbus Roman No9 L" w:hAnsi="Nimbus Roman No9 L" w:eastAsia="仿宋_GB2312" w:cs="Nimbus Roman No9 L"/>
          <w:color w:val="auto"/>
          <w:kern w:val="0"/>
          <w:sz w:val="32"/>
        </w:rPr>
        <w:t>不超过100万元</w:t>
      </w:r>
      <w:r>
        <w:rPr>
          <w:rFonts w:hint="default" w:ascii="Nimbus Roman No9 L" w:hAnsi="Nimbus Roman No9 L" w:eastAsia="仿宋_GB2312" w:cs="Nimbus Roman No9 L"/>
          <w:color w:val="auto"/>
          <w:kern w:val="0"/>
          <w:sz w:val="32"/>
          <w:lang w:eastAsia="zh-CN"/>
        </w:rPr>
        <w:t>（含）</w:t>
      </w:r>
    </w:p>
    <w:p w14:paraId="0E08A12A">
      <w:pPr>
        <w:keepNext w:val="0"/>
        <w:keepLines w:val="0"/>
        <w:pageBreakBefore w:val="0"/>
        <w:widowControl w:val="0"/>
        <w:kinsoku/>
        <w:wordWrap/>
        <w:overflowPunct w:val="0"/>
        <w:topLinePunct w:val="0"/>
        <w:autoSpaceDE/>
        <w:autoSpaceDN/>
        <w:bidi w:val="0"/>
        <w:adjustRightInd w:val="0"/>
        <w:snapToGrid w:val="0"/>
        <w:spacing w:line="630" w:lineRule="exact"/>
        <w:ind w:firstLine="640" w:firstLineChars="200"/>
        <w:textAlignment w:val="auto"/>
        <w:rPr>
          <w:rFonts w:hint="default" w:ascii="Nimbus Roman No9 L" w:hAnsi="Nimbus Roman No9 L" w:eastAsia="华文细黑" w:cs="Nimbus Roman No9 L"/>
          <w:b/>
          <w:bCs/>
          <w:color w:val="auto"/>
          <w:kern w:val="0"/>
          <w:sz w:val="32"/>
          <w:lang w:val="en-US" w:eastAsia="zh-CN"/>
        </w:rPr>
      </w:pPr>
      <w:r>
        <w:rPr>
          <w:rFonts w:hint="default" w:ascii="Nimbus Roman No9 L" w:hAnsi="Nimbus Roman No9 L" w:eastAsia="黑体" w:cs="Nimbus Roman No9 L"/>
          <w:b w:val="0"/>
          <w:bCs w:val="0"/>
          <w:color w:val="auto"/>
          <w:kern w:val="0"/>
          <w:sz w:val="32"/>
          <w:lang w:val="en-US" w:eastAsia="zh-CN"/>
        </w:rPr>
        <w:t>三、湘东北矿集区超大型金矿床矿物-构造勘查标识体系与找矿预测</w:t>
      </w:r>
    </w:p>
    <w:p w14:paraId="37455CCE">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sz w:val="32"/>
        </w:rPr>
      </w:pPr>
      <w:r>
        <w:rPr>
          <w:rFonts w:hint="default" w:ascii="Nimbus Roman No9 L" w:hAnsi="Nimbus Roman No9 L" w:eastAsia="楷体_GB2312" w:cs="Nimbus Roman No9 L"/>
          <w:b/>
          <w:bCs/>
          <w:color w:val="auto"/>
          <w:kern w:val="0"/>
          <w:sz w:val="32"/>
        </w:rPr>
        <w:t>关键技术攻关：</w:t>
      </w:r>
      <w:bookmarkStart w:id="0" w:name="OLE_LINK5"/>
      <w:r>
        <w:rPr>
          <w:rFonts w:hint="default" w:ascii="Nimbus Roman No9 L" w:hAnsi="Nimbus Roman No9 L" w:eastAsia="仿宋_GB2312" w:cs="Nimbus Roman No9 L"/>
          <w:color w:val="auto"/>
          <w:sz w:val="32"/>
        </w:rPr>
        <w:t>针对华南江南古陆中段（湘东北地区）万古超大型金矿床金大量富集的控制因素不清、成矿流体与构造标识识别困难以及找矿预测指标不完善的问题，开展多期流体与构造时空演化序列解析，建立与金成矿相关的矿物-构造判别标志；在此基础上，开展基于真实地质条件的地球化学热力学模拟，定量评估流体混合、冷却及水岩反应过程中金的溶解度变化，揭示驱动金高效成矿的关键因素；融合短波红外光谱数据与构造、地球化学等多源信息，结合人工智能技术，构建金矿智能化三维找矿预测模型，进而实现找矿靶区的圈定，为区域深部找矿提供科学依据。</w:t>
      </w:r>
    </w:p>
    <w:bookmarkEnd w:id="0"/>
    <w:p w14:paraId="5D9213D4">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sz w:val="32"/>
          <w:highlight w:val="none"/>
        </w:rPr>
      </w:pPr>
      <w:r>
        <w:rPr>
          <w:rFonts w:hint="default" w:ascii="Nimbus Roman No9 L" w:hAnsi="Nimbus Roman No9 L" w:eastAsia="楷体_GB2312" w:cs="Nimbus Roman No9 L"/>
          <w:b/>
          <w:bCs/>
          <w:color w:val="auto"/>
          <w:kern w:val="0"/>
          <w:sz w:val="32"/>
        </w:rPr>
        <w:t>预期成果：</w:t>
      </w:r>
      <w:r>
        <w:rPr>
          <w:rFonts w:hint="default" w:ascii="Nimbus Roman No9 L" w:hAnsi="Nimbus Roman No9 L" w:eastAsia="仿宋_GB2312" w:cs="Nimbus Roman No9 L"/>
          <w:color w:val="auto"/>
          <w:sz w:val="32"/>
          <w:highlight w:val="none"/>
        </w:rPr>
        <w:t>阐明万古超大型金矿床的成矿演化过程；基于地球化学热力学模拟，揭示巨量金沉淀的关键控制因素；提出万古超大型金矿“矿化蚀变—构造—矿体”三维精细地质模型1套；构建万古超大型金矿深部矿物学勘查标识体系，形成隐伏矿体定位标准化流程1套；提交找矿靶区3</w:t>
      </w:r>
      <w:r>
        <w:rPr>
          <w:rFonts w:hint="default" w:ascii="Nimbus Roman No9 L" w:hAnsi="Nimbus Roman No9 L" w:eastAsia="仿宋_GB2312" w:cs="Nimbus Roman No9 L"/>
          <w:color w:val="auto"/>
          <w:sz w:val="32"/>
          <w:highlight w:val="none"/>
          <w:lang w:eastAsia="zh-CN"/>
        </w:rPr>
        <w:t>—</w:t>
      </w:r>
      <w:r>
        <w:rPr>
          <w:rFonts w:hint="default" w:ascii="Nimbus Roman No9 L" w:hAnsi="Nimbus Roman No9 L" w:eastAsia="仿宋_GB2312" w:cs="Nimbus Roman No9 L"/>
          <w:color w:val="auto"/>
          <w:sz w:val="32"/>
          <w:highlight w:val="none"/>
        </w:rPr>
        <w:t>5处，新增金资源量10吨；发表</w:t>
      </w:r>
      <w:r>
        <w:rPr>
          <w:rFonts w:hint="default" w:ascii="Nimbus Roman No9 L" w:hAnsi="Nimbus Roman No9 L" w:eastAsia="仿宋_GB2312" w:cs="Nimbus Roman No9 L"/>
          <w:color w:val="auto"/>
          <w:sz w:val="32"/>
          <w:highlight w:val="none"/>
          <w:lang w:eastAsia="zh-CN"/>
        </w:rPr>
        <w:t>高水平学术</w:t>
      </w:r>
      <w:r>
        <w:rPr>
          <w:rFonts w:hint="default" w:ascii="Nimbus Roman No9 L" w:hAnsi="Nimbus Roman No9 L" w:eastAsia="仿宋_GB2312" w:cs="Nimbus Roman No9 L"/>
          <w:color w:val="auto"/>
          <w:sz w:val="32"/>
          <w:highlight w:val="none"/>
        </w:rPr>
        <w:t>论文2篇，其中</w:t>
      </w:r>
      <w:r>
        <w:rPr>
          <w:rFonts w:hint="default" w:ascii="Nimbus Roman No9 L" w:hAnsi="Nimbus Roman No9 L" w:eastAsia="仿宋_GB2312" w:cs="Nimbus Roman No9 L"/>
          <w:color w:val="auto"/>
          <w:sz w:val="32"/>
          <w:highlight w:val="none"/>
          <w:lang w:eastAsia="zh-CN"/>
        </w:rPr>
        <w:t>：</w:t>
      </w:r>
      <w:r>
        <w:rPr>
          <w:rFonts w:hint="default" w:ascii="Nimbus Roman No9 L" w:hAnsi="Nimbus Roman No9 L" w:eastAsia="仿宋_GB2312" w:cs="Nimbus Roman No9 L"/>
          <w:color w:val="auto"/>
          <w:sz w:val="32"/>
          <w:highlight w:val="none"/>
        </w:rPr>
        <w:t>SCI中科院分区1区、2区论文至少各1篇；</w:t>
      </w:r>
      <w:r>
        <w:rPr>
          <w:rFonts w:hint="default" w:ascii="Nimbus Roman No9 L" w:hAnsi="Nimbus Roman No9 L" w:eastAsia="仿宋_GB2312" w:cs="Nimbus Roman No9 L"/>
          <w:color w:val="auto"/>
          <w:sz w:val="32"/>
          <w:highlight w:val="none"/>
          <w:lang w:eastAsia="zh-CN"/>
        </w:rPr>
        <w:t>取得</w:t>
      </w:r>
      <w:r>
        <w:rPr>
          <w:rFonts w:hint="default" w:ascii="Nimbus Roman No9 L" w:hAnsi="Nimbus Roman No9 L" w:eastAsia="仿宋_GB2312" w:cs="Nimbus Roman No9 L"/>
          <w:color w:val="auto"/>
          <w:sz w:val="32"/>
          <w:highlight w:val="none"/>
        </w:rPr>
        <w:t>软件著作权1项。</w:t>
      </w:r>
    </w:p>
    <w:p w14:paraId="7EB7FBEB">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kern w:val="0"/>
          <w:sz w:val="32"/>
        </w:rPr>
      </w:pPr>
      <w:r>
        <w:rPr>
          <w:rFonts w:hint="default" w:ascii="Nimbus Roman No9 L" w:hAnsi="Nimbus Roman No9 L" w:eastAsia="楷体_GB2312" w:cs="Nimbus Roman No9 L"/>
          <w:b/>
          <w:bCs/>
          <w:color w:val="auto"/>
          <w:kern w:val="0"/>
          <w:sz w:val="32"/>
        </w:rPr>
        <w:t>实施周期：</w:t>
      </w:r>
      <w:r>
        <w:rPr>
          <w:rFonts w:hint="default" w:ascii="Nimbus Roman No9 L" w:hAnsi="Nimbus Roman No9 L" w:eastAsia="仿宋_GB2312" w:cs="Nimbus Roman No9 L"/>
          <w:color w:val="auto"/>
          <w:kern w:val="0"/>
          <w:sz w:val="32"/>
        </w:rPr>
        <w:t>不超过</w:t>
      </w:r>
      <w:r>
        <w:rPr>
          <w:rFonts w:hint="default" w:ascii="Nimbus Roman No9 L" w:hAnsi="Nimbus Roman No9 L" w:eastAsia="仿宋_GB2312" w:cs="Nimbus Roman No9 L"/>
          <w:i w:val="0"/>
          <w:iCs w:val="0"/>
          <w:caps w:val="0"/>
          <w:color w:val="auto"/>
          <w:spacing w:val="24"/>
          <w:kern w:val="0"/>
          <w:sz w:val="32"/>
          <w:szCs w:val="32"/>
          <w:shd w:val="clear" w:fill="FFFFFF"/>
          <w:lang w:val="en-US" w:eastAsia="zh-CN" w:bidi="ar"/>
        </w:rPr>
        <w:t>3</w:t>
      </w:r>
      <w:r>
        <w:rPr>
          <w:rFonts w:hint="default" w:ascii="Nimbus Roman No9 L" w:hAnsi="Nimbus Roman No9 L" w:eastAsia="仿宋_GB2312" w:cs="Nimbus Roman No9 L"/>
          <w:color w:val="auto"/>
          <w:kern w:val="0"/>
          <w:sz w:val="32"/>
        </w:rPr>
        <w:t>年。</w:t>
      </w:r>
    </w:p>
    <w:p w14:paraId="1559E4EC">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sz w:val="32"/>
          <w:szCs w:val="32"/>
        </w:rPr>
      </w:pPr>
      <w:r>
        <w:rPr>
          <w:rFonts w:hint="default" w:ascii="Nimbus Roman No9 L" w:hAnsi="Nimbus Roman No9 L" w:eastAsia="楷体_GB2312" w:cs="Nimbus Roman No9 L"/>
          <w:b/>
          <w:bCs/>
          <w:color w:val="auto"/>
          <w:kern w:val="0"/>
          <w:sz w:val="32"/>
        </w:rPr>
        <w:t>补助金额：</w:t>
      </w:r>
      <w:r>
        <w:rPr>
          <w:rFonts w:hint="default" w:ascii="Nimbus Roman No9 L" w:hAnsi="Nimbus Roman No9 L" w:eastAsia="仿宋_GB2312" w:cs="Nimbus Roman No9 L"/>
          <w:color w:val="auto"/>
          <w:kern w:val="0"/>
          <w:sz w:val="32"/>
        </w:rPr>
        <w:t>不超过100万元</w:t>
      </w:r>
      <w:r>
        <w:rPr>
          <w:rFonts w:hint="default" w:ascii="Nimbus Roman No9 L" w:hAnsi="Nimbus Roman No9 L" w:eastAsia="仿宋_GB2312" w:cs="Nimbus Roman No9 L"/>
          <w:color w:val="auto"/>
          <w:kern w:val="0"/>
          <w:sz w:val="32"/>
          <w:lang w:eastAsia="zh-CN"/>
        </w:rPr>
        <w:t>（含）</w:t>
      </w:r>
    </w:p>
    <w:p w14:paraId="1FD6BDAD">
      <w:pPr>
        <w:keepNext w:val="0"/>
        <w:keepLines w:val="0"/>
        <w:pageBreakBefore w:val="0"/>
        <w:widowControl w:val="0"/>
        <w:kinsoku/>
        <w:wordWrap/>
        <w:overflowPunct w:val="0"/>
        <w:topLinePunct w:val="0"/>
        <w:autoSpaceDE/>
        <w:autoSpaceDN/>
        <w:bidi w:val="0"/>
        <w:adjustRightInd w:val="0"/>
        <w:snapToGrid w:val="0"/>
        <w:spacing w:line="630" w:lineRule="exact"/>
        <w:ind w:firstLine="641" w:firstLineChars="200"/>
        <w:textAlignment w:val="auto"/>
        <w:rPr>
          <w:rFonts w:hint="default" w:ascii="Nimbus Roman No9 L" w:hAnsi="Nimbus Roman No9 L" w:eastAsia="华文细黑" w:cs="Nimbus Roman No9 L"/>
          <w:b/>
          <w:bCs/>
          <w:color w:val="auto"/>
          <w:kern w:val="0"/>
          <w:sz w:val="32"/>
          <w:lang w:val="en-US" w:eastAsia="zh-CN"/>
        </w:rPr>
      </w:pPr>
      <w:r>
        <w:rPr>
          <w:rFonts w:hint="default" w:ascii="Nimbus Roman No9 L" w:hAnsi="Nimbus Roman No9 L" w:eastAsia="华文细黑" w:cs="Nimbus Roman No9 L"/>
          <w:b/>
          <w:bCs/>
          <w:color w:val="auto"/>
          <w:kern w:val="0"/>
          <w:sz w:val="32"/>
          <w:lang w:val="en-US" w:eastAsia="zh-CN"/>
        </w:rPr>
        <w:t>四、基于人工智能的</w:t>
      </w:r>
      <w:bookmarkStart w:id="1" w:name="_Hlk218517336"/>
      <w:r>
        <w:rPr>
          <w:rFonts w:hint="default" w:ascii="Nimbus Roman No9 L" w:hAnsi="Nimbus Roman No9 L" w:eastAsia="华文细黑" w:cs="Nimbus Roman No9 L"/>
          <w:b/>
          <w:bCs/>
          <w:color w:val="auto"/>
          <w:kern w:val="0"/>
          <w:sz w:val="32"/>
          <w:lang w:val="en-US" w:eastAsia="zh-CN"/>
        </w:rPr>
        <w:t>地质灾害风险预警模型关键技术研究及应用</w:t>
      </w:r>
      <w:bookmarkEnd w:id="1"/>
    </w:p>
    <w:p w14:paraId="005ECD07">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sz w:val="32"/>
          <w:szCs w:val="32"/>
        </w:rPr>
      </w:pPr>
      <w:r>
        <w:rPr>
          <w:rFonts w:hint="default" w:ascii="Nimbus Roman No9 L" w:hAnsi="Nimbus Roman No9 L" w:eastAsia="楷体_GB2312" w:cs="Nimbus Roman No9 L"/>
          <w:b/>
          <w:bCs/>
          <w:color w:val="auto"/>
          <w:kern w:val="0"/>
          <w:sz w:val="32"/>
        </w:rPr>
        <w:t>关键技术攻关：</w:t>
      </w:r>
      <w:r>
        <w:rPr>
          <w:rFonts w:hint="default" w:ascii="Nimbus Roman No9 L" w:hAnsi="Nimbus Roman No9 L" w:eastAsia="仿宋_GB2312" w:cs="Nimbus Roman No9 L"/>
          <w:color w:val="auto"/>
          <w:sz w:val="32"/>
          <w:szCs w:val="32"/>
        </w:rPr>
        <w:t>针对当前我省地质灾害临灾短临预警未结合地质背景因素而导致的预警时间不精准、空间不精细，以及对降雨引发地质灾害阈值和成灾机理研究尚不成熟、“三断”</w:t>
      </w:r>
      <w:r>
        <w:rPr>
          <w:rFonts w:hint="default" w:ascii="Nimbus Roman No9 L" w:hAnsi="Nimbus Roman No9 L" w:eastAsia="仿宋_GB2312" w:cs="Nimbus Roman No9 L"/>
          <w:color w:val="auto"/>
          <w:sz w:val="32"/>
          <w:szCs w:val="32"/>
          <w:lang w:eastAsia="zh-CN"/>
        </w:rPr>
        <w:t>（断路、断网、断电）</w:t>
      </w:r>
      <w:r>
        <w:rPr>
          <w:rFonts w:hint="default" w:ascii="Nimbus Roman No9 L" w:hAnsi="Nimbus Roman No9 L" w:eastAsia="仿宋_GB2312" w:cs="Nimbus Roman No9 L"/>
          <w:color w:val="auto"/>
          <w:sz w:val="32"/>
          <w:szCs w:val="32"/>
        </w:rPr>
        <w:t>场景下紧急避险难度大</w:t>
      </w:r>
      <w:r>
        <w:rPr>
          <w:rFonts w:hint="default" w:ascii="Nimbus Roman No9 L" w:hAnsi="Nimbus Roman No9 L" w:eastAsia="仿宋_GB2312" w:cs="Nimbus Roman No9 L"/>
          <w:color w:val="auto"/>
          <w:sz w:val="32"/>
          <w:szCs w:val="32"/>
          <w:lang w:eastAsia="zh-CN"/>
        </w:rPr>
        <w:t>等问题</w:t>
      </w:r>
      <w:r>
        <w:rPr>
          <w:rFonts w:hint="default" w:ascii="Nimbus Roman No9 L" w:hAnsi="Nimbus Roman No9 L" w:eastAsia="仿宋_GB2312" w:cs="Nimbus Roman No9 L"/>
          <w:color w:val="auto"/>
          <w:sz w:val="32"/>
          <w:szCs w:val="32"/>
        </w:rPr>
        <w:t>，通过筛选并分类提取主要分布的“红层”、浅变质岩、花岗岩等六大地质背景区主控静态因子和治理历史发灾数据，搭建AI训练模型深度计算分析降雨动态因子与地形、地质、植被等静态因子的耦合关系，接入实况降雨数据和未来6小时逐小时降雨预报数据开展试运行，利用新发灾点数据开展验证并选取重点区域进行解剖，对模型参数进行优化和校正，构建“人工智能+地质+气象”地质灾害实时动态风险预警模型，攻关融合LPWAN、FM、4G/5G、AM广播、北斗短报文等多种通讯手段的中枢网关终端，为“三断”场景下预警信息传输、电子围栏手机信号监测提供安全、稳定、高效的通讯支撑，实现全省范围内中级以上地质灾害风险区提前6小时精细化临灾预警和“三断”场景下信息传输畅通目标。</w:t>
      </w:r>
    </w:p>
    <w:p w14:paraId="0BA770CF">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sz w:val="36"/>
          <w:szCs w:val="36"/>
        </w:rPr>
      </w:pPr>
      <w:r>
        <w:rPr>
          <w:rFonts w:hint="default" w:ascii="Nimbus Roman No9 L" w:hAnsi="Nimbus Roman No9 L" w:eastAsia="楷体_GB2312" w:cs="Nimbus Roman No9 L"/>
          <w:b/>
          <w:bCs/>
          <w:color w:val="auto"/>
          <w:kern w:val="0"/>
          <w:sz w:val="32"/>
        </w:rPr>
        <w:t>预期成果：</w:t>
      </w:r>
      <w:r>
        <w:rPr>
          <w:rFonts w:hint="default" w:ascii="Nimbus Roman No9 L" w:hAnsi="Nimbus Roman No9 L" w:eastAsia="仿宋_GB2312" w:cs="Nimbus Roman No9 L"/>
          <w:color w:val="auto"/>
          <w:sz w:val="32"/>
          <w:szCs w:val="32"/>
        </w:rPr>
        <w:t>构建基于人工智能的地质灾害风险实时动态预警模型，融入已建成的湖南省地质灾害防治综合应用平台，开展针对于全省范围内4000km2的中级以上地质灾害风险区未来6小时逐小时临灾预警预报服务；实现现有预警平台的智能迭代，具备临灾风险识别、动态评估和预警信息自动生成功能，实时将风险判定结果精准推送至防灾责任人，依据实况降雨实时调整预警，为地方政府决策和受威胁群众精准转移提供科学依据；研制融合多源通讯的中枢网关终端，打通预警平台、HNCORS中心、中级以上地质灾害风险区所在村组间的应急广播信息传递链路，保障“三断”场景下信息传输畅通与应急指挥调度；单次模型计算时间≤15分钟，发表</w:t>
      </w:r>
      <w:r>
        <w:rPr>
          <w:rFonts w:hint="default" w:ascii="Nimbus Roman No9 L" w:hAnsi="Nimbus Roman No9 L" w:eastAsia="仿宋_GB2312" w:cs="Nimbus Roman No9 L"/>
          <w:color w:val="auto"/>
          <w:sz w:val="32"/>
          <w:szCs w:val="32"/>
          <w:lang w:eastAsia="zh-CN"/>
        </w:rPr>
        <w:t>高水平学术论文</w:t>
      </w:r>
      <w:r>
        <w:rPr>
          <w:rFonts w:hint="default" w:ascii="Nimbus Roman No9 L" w:hAnsi="Nimbus Roman No9 L" w:eastAsia="仿宋_GB2312" w:cs="Nimbus Roman No9 L"/>
          <w:color w:val="auto"/>
          <w:sz w:val="32"/>
          <w:szCs w:val="32"/>
          <w:lang w:val="en-US" w:eastAsia="zh-CN"/>
        </w:rPr>
        <w:t>2篇，其中</w:t>
      </w:r>
      <w:r>
        <w:rPr>
          <w:rFonts w:hint="default" w:ascii="Nimbus Roman No9 L" w:hAnsi="Nimbus Roman No9 L" w:eastAsia="仿宋_GB2312" w:cs="Nimbus Roman No9 L"/>
          <w:color w:val="auto"/>
          <w:sz w:val="32"/>
          <w:szCs w:val="32"/>
        </w:rPr>
        <w:t>SCI中科院分区2区及以上学术论文2篇，授权国家发明专利1项，取得软件著作权2项，研制新产品中枢网关终端1项（开阔地带LPWAN广域网通信服务半径不少于5千米、支持终端接入节点数不少于20个；开阔地带手机信令解析时延优于3秒、服务覆盖半径不少于3千米），并通过国家相关产品认证。</w:t>
      </w:r>
    </w:p>
    <w:p w14:paraId="4A277DD9">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kern w:val="0"/>
          <w:sz w:val="36"/>
          <w:szCs w:val="36"/>
        </w:rPr>
      </w:pPr>
      <w:r>
        <w:rPr>
          <w:rFonts w:hint="default" w:ascii="Nimbus Roman No9 L" w:hAnsi="Nimbus Roman No9 L" w:eastAsia="楷体_GB2312" w:cs="Nimbus Roman No9 L"/>
          <w:b/>
          <w:bCs/>
          <w:color w:val="auto"/>
          <w:kern w:val="0"/>
          <w:sz w:val="32"/>
        </w:rPr>
        <w:t>实施周期：</w:t>
      </w:r>
      <w:r>
        <w:rPr>
          <w:rFonts w:hint="default" w:ascii="Nimbus Roman No9 L" w:hAnsi="Nimbus Roman No9 L" w:eastAsia="仿宋_GB2312" w:cs="Nimbus Roman No9 L"/>
          <w:color w:val="auto"/>
          <w:sz w:val="32"/>
          <w:szCs w:val="32"/>
        </w:rPr>
        <w:t>不超过</w:t>
      </w:r>
      <w:r>
        <w:rPr>
          <w:rFonts w:hint="default" w:ascii="Nimbus Roman No9 L" w:hAnsi="Nimbus Roman No9 L" w:eastAsia="仿宋_GB2312" w:cs="Nimbus Roman No9 L"/>
          <w:color w:val="auto"/>
          <w:sz w:val="32"/>
          <w:szCs w:val="32"/>
          <w:lang w:val="en-US" w:eastAsia="zh-CN"/>
        </w:rPr>
        <w:t>2</w:t>
      </w:r>
      <w:r>
        <w:rPr>
          <w:rFonts w:hint="default" w:ascii="Nimbus Roman No9 L" w:hAnsi="Nimbus Roman No9 L" w:eastAsia="仿宋_GB2312" w:cs="Nimbus Roman No9 L"/>
          <w:color w:val="auto"/>
          <w:sz w:val="32"/>
          <w:szCs w:val="32"/>
        </w:rPr>
        <w:t>年。</w:t>
      </w:r>
    </w:p>
    <w:p w14:paraId="1C82F06C">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kern w:val="0"/>
          <w:sz w:val="36"/>
          <w:szCs w:val="36"/>
          <w:lang w:eastAsia="zh-CN"/>
        </w:rPr>
      </w:pPr>
      <w:r>
        <w:rPr>
          <w:rFonts w:hint="default" w:ascii="Nimbus Roman No9 L" w:hAnsi="Nimbus Roman No9 L" w:eastAsia="楷体_GB2312" w:cs="Nimbus Roman No9 L"/>
          <w:b/>
          <w:bCs/>
          <w:color w:val="auto"/>
          <w:kern w:val="0"/>
          <w:sz w:val="32"/>
        </w:rPr>
        <w:t>补助金额：</w:t>
      </w:r>
      <w:r>
        <w:rPr>
          <w:rFonts w:hint="default" w:ascii="Nimbus Roman No9 L" w:hAnsi="Nimbus Roman No9 L" w:eastAsia="仿宋_GB2312" w:cs="Nimbus Roman No9 L"/>
          <w:color w:val="auto"/>
          <w:sz w:val="32"/>
          <w:szCs w:val="32"/>
        </w:rPr>
        <w:t>不超过100万元</w:t>
      </w:r>
      <w:r>
        <w:rPr>
          <w:rFonts w:hint="default" w:ascii="Nimbus Roman No9 L" w:hAnsi="Nimbus Roman No9 L" w:eastAsia="仿宋_GB2312" w:cs="Nimbus Roman No9 L"/>
          <w:color w:val="auto"/>
          <w:sz w:val="32"/>
          <w:szCs w:val="32"/>
          <w:lang w:eastAsia="zh-CN"/>
        </w:rPr>
        <w:t>（含）</w:t>
      </w:r>
    </w:p>
    <w:p w14:paraId="239896D1">
      <w:pPr>
        <w:keepNext w:val="0"/>
        <w:keepLines w:val="0"/>
        <w:pageBreakBefore w:val="0"/>
        <w:widowControl w:val="0"/>
        <w:kinsoku/>
        <w:wordWrap/>
        <w:overflowPunct w:val="0"/>
        <w:topLinePunct w:val="0"/>
        <w:autoSpaceDE/>
        <w:autoSpaceDN/>
        <w:bidi w:val="0"/>
        <w:adjustRightInd w:val="0"/>
        <w:snapToGrid w:val="0"/>
        <w:spacing w:line="630" w:lineRule="exact"/>
        <w:ind w:firstLine="641" w:firstLineChars="200"/>
        <w:textAlignment w:val="auto"/>
        <w:rPr>
          <w:rFonts w:hint="default" w:ascii="Nimbus Roman No9 L" w:hAnsi="Nimbus Roman No9 L" w:eastAsia="华文细黑" w:cs="Nimbus Roman No9 L"/>
          <w:b/>
          <w:bCs/>
          <w:color w:val="auto"/>
          <w:kern w:val="0"/>
          <w:sz w:val="32"/>
          <w:lang w:val="en-US" w:eastAsia="zh-CN"/>
        </w:rPr>
      </w:pPr>
      <w:r>
        <w:rPr>
          <w:rFonts w:hint="default" w:ascii="Nimbus Roman No9 L" w:hAnsi="Nimbus Roman No9 L" w:eastAsia="华文细黑" w:cs="Nimbus Roman No9 L"/>
          <w:b/>
          <w:bCs/>
          <w:color w:val="auto"/>
          <w:kern w:val="0"/>
          <w:sz w:val="32"/>
          <w:lang w:val="en-US" w:eastAsia="zh-CN"/>
        </w:rPr>
        <w:t>五、产业园区低效工业用地盘活利用的全周期国土空间治理技术研究</w:t>
      </w:r>
    </w:p>
    <w:p w14:paraId="5F3A557B">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sz w:val="32"/>
          <w:szCs w:val="32"/>
        </w:rPr>
      </w:pPr>
      <w:r>
        <w:rPr>
          <w:rFonts w:hint="default" w:ascii="Nimbus Roman No9 L" w:hAnsi="Nimbus Roman No9 L" w:eastAsia="楷体_GB2312" w:cs="Nimbus Roman No9 L"/>
          <w:b/>
          <w:bCs/>
          <w:color w:val="auto"/>
          <w:kern w:val="0"/>
          <w:sz w:val="32"/>
        </w:rPr>
        <w:t>关键技术攻关：</w:t>
      </w:r>
      <w:r>
        <w:rPr>
          <w:rFonts w:hint="default" w:ascii="Nimbus Roman No9 L" w:hAnsi="Nimbus Roman No9 L" w:eastAsia="仿宋_GB2312" w:cs="Nimbus Roman No9 L"/>
          <w:color w:val="auto"/>
          <w:sz w:val="32"/>
          <w:szCs w:val="32"/>
        </w:rPr>
        <w:t>针对产业园区低效工业用地识别效率不高、空间要素配置不精准、规划盘活统筹不强等突出问题，开展“诊断评价—规划引领—盘活策略—实施路径—评估监管”的全周期国土空间治理技术体系研发。重点攻克低效用地精准识别诊断</w:t>
      </w:r>
      <w:r>
        <w:rPr>
          <w:rFonts w:hint="default" w:ascii="Nimbus Roman No9 L" w:hAnsi="Nimbus Roman No9 L" w:eastAsia="仿宋_GB2312" w:cs="Nimbus Roman No9 L"/>
          <w:color w:val="auto"/>
          <w:sz w:val="32"/>
          <w:szCs w:val="32"/>
          <w:lang w:eastAsia="zh-CN"/>
        </w:rPr>
        <w:t>、</w:t>
      </w:r>
      <w:r>
        <w:rPr>
          <w:rFonts w:hint="default" w:ascii="Nimbus Roman No9 L" w:hAnsi="Nimbus Roman No9 L" w:eastAsia="仿宋_GB2312" w:cs="Nimbus Roman No9 L"/>
          <w:color w:val="auto"/>
          <w:sz w:val="32"/>
          <w:szCs w:val="32"/>
        </w:rPr>
        <w:t>盘活规划实用编制、路径模式</w:t>
      </w:r>
      <w:r>
        <w:rPr>
          <w:rFonts w:hint="default" w:ascii="Nimbus Roman No9 L" w:hAnsi="Nimbus Roman No9 L" w:eastAsia="仿宋_GB2312" w:cs="Nimbus Roman No9 L"/>
          <w:color w:val="auto"/>
          <w:sz w:val="32"/>
          <w:szCs w:val="32"/>
          <w:lang w:val="en-US" w:eastAsia="zh-CN"/>
        </w:rPr>
        <w:t>设计</w:t>
      </w:r>
      <w:r>
        <w:rPr>
          <w:rFonts w:hint="default" w:ascii="Nimbus Roman No9 L" w:hAnsi="Nimbus Roman No9 L" w:eastAsia="仿宋_GB2312" w:cs="Nimbus Roman No9 L"/>
          <w:color w:val="auto"/>
          <w:sz w:val="32"/>
          <w:szCs w:val="32"/>
        </w:rPr>
        <w:t>、绩效评估与全周期监管等关键技术，构建分类诊断标准，形成规划编制技术指南和分类施策解决方案，在典型产业园区开展应用示范，验证技术体系有效性。通过技术集成与应用推广，有效提升低效用地盘活的精准</w:t>
      </w:r>
      <w:r>
        <w:rPr>
          <w:rFonts w:hint="default" w:ascii="Nimbus Roman No9 L" w:hAnsi="Nimbus Roman No9 L" w:eastAsia="仿宋_GB2312" w:cs="Nimbus Roman No9 L"/>
          <w:color w:val="auto"/>
          <w:sz w:val="32"/>
          <w:szCs w:val="32"/>
          <w:lang w:val="en-US" w:eastAsia="zh-CN"/>
        </w:rPr>
        <w:t>度</w:t>
      </w:r>
      <w:r>
        <w:rPr>
          <w:rFonts w:hint="default" w:ascii="Nimbus Roman No9 L" w:hAnsi="Nimbus Roman No9 L" w:eastAsia="仿宋_GB2312" w:cs="Nimbus Roman No9 L"/>
          <w:color w:val="auto"/>
          <w:sz w:val="32"/>
          <w:szCs w:val="32"/>
        </w:rPr>
        <w:t>和实施效率，为湖南土地要素市场化配置和高质量发展提供</w:t>
      </w:r>
      <w:r>
        <w:rPr>
          <w:rFonts w:hint="default" w:ascii="Nimbus Roman No9 L" w:hAnsi="Nimbus Roman No9 L" w:eastAsia="仿宋_GB2312" w:cs="Nimbus Roman No9 L"/>
          <w:color w:val="auto"/>
          <w:sz w:val="32"/>
          <w:szCs w:val="32"/>
          <w:lang w:eastAsia="zh-CN"/>
        </w:rPr>
        <w:t>有效的</w:t>
      </w:r>
      <w:r>
        <w:rPr>
          <w:rFonts w:hint="default" w:ascii="Nimbus Roman No9 L" w:hAnsi="Nimbus Roman No9 L" w:eastAsia="仿宋_GB2312" w:cs="Nimbus Roman No9 L"/>
          <w:color w:val="auto"/>
          <w:sz w:val="32"/>
          <w:szCs w:val="32"/>
        </w:rPr>
        <w:t>技术支撑。</w:t>
      </w:r>
    </w:p>
    <w:p w14:paraId="71134D6C">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sz w:val="32"/>
          <w:szCs w:val="32"/>
          <w:lang w:val="en-US" w:eastAsia="zh-CN"/>
        </w:rPr>
      </w:pPr>
      <w:r>
        <w:rPr>
          <w:rFonts w:hint="default" w:ascii="Nimbus Roman No9 L" w:hAnsi="Nimbus Roman No9 L" w:eastAsia="楷体_GB2312" w:cs="Nimbus Roman No9 L"/>
          <w:b/>
          <w:bCs/>
          <w:color w:val="auto"/>
          <w:kern w:val="0"/>
          <w:sz w:val="32"/>
          <w:szCs w:val="24"/>
        </w:rPr>
        <w:t>预期成果：</w:t>
      </w:r>
      <w:r>
        <w:rPr>
          <w:rFonts w:hint="default" w:ascii="Nimbus Roman No9 L" w:hAnsi="Nimbus Roman No9 L" w:eastAsia="仿宋_GB2312" w:cs="Nimbus Roman No9 L"/>
          <w:color w:val="auto"/>
          <w:sz w:val="32"/>
          <w:szCs w:val="32"/>
        </w:rPr>
        <w:t>构建低效工业用地的共性与特质（针对不同类型的产业园区）诊断指标，确立诊断标准，形成《低效工业用地诊断标准与诊断技术指南（草案）》；形成产业园区低效工业用地盘活规划编制技术，提出《产业园区低效工业用地盘活规划方案编制技术指南》行业标准编制建议；开展产业园区低效工业用地盘活应用示范，提出低效工业用地盘活策略、路径模式及监管措施，形成综合性研究报告；推动关键技术至少1个县（市、区）开展应用试点，助力试点地产业园区工业用地地均产值提升10%以</w:t>
      </w:r>
      <w:r>
        <w:rPr>
          <w:rFonts w:hint="default" w:ascii="Nimbus Roman No9 L" w:hAnsi="Nimbus Roman No9 L" w:eastAsia="仿宋_GB2312" w:cs="Nimbus Roman No9 L"/>
          <w:color w:val="auto"/>
          <w:sz w:val="32"/>
          <w:szCs w:val="32"/>
          <w:lang w:eastAsia="zh-CN"/>
        </w:rPr>
        <w:t>上，</w:t>
      </w:r>
      <w:r>
        <w:rPr>
          <w:rFonts w:hint="default" w:ascii="Nimbus Roman No9 L" w:hAnsi="Nimbus Roman No9 L" w:eastAsia="仿宋_GB2312" w:cs="Nimbus Roman No9 L"/>
          <w:color w:val="auto"/>
          <w:sz w:val="32"/>
          <w:szCs w:val="32"/>
        </w:rPr>
        <w:t>总结试点经验形成政策转化成果；发表学术论文2篇</w:t>
      </w:r>
      <w:r>
        <w:rPr>
          <w:rFonts w:hint="default" w:ascii="Nimbus Roman No9 L" w:hAnsi="Nimbus Roman No9 L" w:eastAsia="仿宋_GB2312" w:cs="Nimbus Roman No9 L"/>
          <w:color w:val="auto"/>
          <w:sz w:val="32"/>
          <w:szCs w:val="32"/>
          <w:lang w:eastAsia="zh-CN"/>
        </w:rPr>
        <w:t>，</w:t>
      </w:r>
      <w:r>
        <w:rPr>
          <w:rFonts w:hint="default" w:ascii="Nimbus Roman No9 L" w:hAnsi="Nimbus Roman No9 L" w:eastAsia="仿宋_GB2312" w:cs="Nimbus Roman No9 L"/>
          <w:color w:val="auto"/>
          <w:sz w:val="32"/>
          <w:szCs w:val="32"/>
        </w:rPr>
        <w:t>其中</w:t>
      </w:r>
      <w:r>
        <w:rPr>
          <w:rFonts w:hint="default" w:ascii="Nimbus Roman No9 L" w:hAnsi="Nimbus Roman No9 L" w:eastAsia="仿宋_GB2312" w:cs="Nimbus Roman No9 L"/>
          <w:color w:val="auto"/>
          <w:sz w:val="32"/>
          <w:szCs w:val="32"/>
          <w:lang w:eastAsia="zh-CN"/>
        </w:rPr>
        <w:t>：</w:t>
      </w:r>
      <w:r>
        <w:rPr>
          <w:rFonts w:hint="default" w:ascii="Nimbus Roman No9 L" w:hAnsi="Nimbus Roman No9 L" w:eastAsia="仿宋_GB2312" w:cs="Nimbus Roman No9 L"/>
          <w:color w:val="auto"/>
          <w:sz w:val="32"/>
          <w:szCs w:val="32"/>
        </w:rPr>
        <w:t>高质量科技期刊分级目录T2级期刊论文1篇</w:t>
      </w:r>
      <w:r>
        <w:rPr>
          <w:rFonts w:hint="default" w:ascii="Nimbus Roman No9 L" w:hAnsi="Nimbus Roman No9 L" w:eastAsia="仿宋_GB2312" w:cs="Nimbus Roman No9 L"/>
          <w:color w:val="auto"/>
          <w:sz w:val="32"/>
          <w:szCs w:val="32"/>
          <w:lang w:eastAsia="zh-CN"/>
        </w:rPr>
        <w:t>、</w:t>
      </w:r>
      <w:r>
        <w:rPr>
          <w:rFonts w:hint="default" w:ascii="Nimbus Roman No9 L" w:hAnsi="Nimbus Roman No9 L" w:eastAsia="仿宋_GB2312" w:cs="Nimbus Roman No9 L"/>
          <w:color w:val="auto"/>
          <w:sz w:val="32"/>
          <w:szCs w:val="32"/>
        </w:rPr>
        <w:t>高质量科技期刊论文1篇。</w:t>
      </w:r>
      <w:r>
        <w:rPr>
          <w:rFonts w:hint="default" w:ascii="Nimbus Roman No9 L" w:hAnsi="Nimbus Roman No9 L" w:eastAsia="仿宋_GB2312" w:cs="Nimbus Roman No9 L"/>
          <w:color w:val="auto"/>
          <w:sz w:val="32"/>
          <w:szCs w:val="32"/>
          <w:lang w:val="en-US" w:eastAsia="zh-CN"/>
        </w:rPr>
        <w:t xml:space="preserve"> </w:t>
      </w:r>
    </w:p>
    <w:p w14:paraId="7B493B0C">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kern w:val="0"/>
          <w:sz w:val="32"/>
        </w:rPr>
      </w:pPr>
      <w:r>
        <w:rPr>
          <w:rFonts w:hint="default" w:ascii="Nimbus Roman No9 L" w:hAnsi="Nimbus Roman No9 L" w:eastAsia="楷体_GB2312" w:cs="Nimbus Roman No9 L"/>
          <w:b/>
          <w:bCs/>
          <w:color w:val="auto"/>
          <w:kern w:val="0"/>
          <w:sz w:val="32"/>
        </w:rPr>
        <w:t>实施周期：</w:t>
      </w:r>
      <w:r>
        <w:rPr>
          <w:rFonts w:hint="default" w:ascii="Nimbus Roman No9 L" w:hAnsi="Nimbus Roman No9 L" w:eastAsia="仿宋_GB2312" w:cs="Nimbus Roman No9 L"/>
          <w:color w:val="auto"/>
          <w:kern w:val="0"/>
          <w:sz w:val="32"/>
        </w:rPr>
        <w:t>不超过</w:t>
      </w:r>
      <w:r>
        <w:rPr>
          <w:rFonts w:hint="default" w:ascii="Nimbus Roman No9 L" w:hAnsi="Nimbus Roman No9 L" w:eastAsia="仿宋_GB2312" w:cs="Nimbus Roman No9 L"/>
          <w:i w:val="0"/>
          <w:iCs w:val="0"/>
          <w:caps w:val="0"/>
          <w:color w:val="auto"/>
          <w:spacing w:val="24"/>
          <w:kern w:val="0"/>
          <w:sz w:val="32"/>
          <w:szCs w:val="32"/>
          <w:shd w:val="clear" w:fill="FFFFFF"/>
          <w:lang w:val="en-US" w:eastAsia="zh-CN" w:bidi="ar"/>
        </w:rPr>
        <w:t>3</w:t>
      </w:r>
      <w:r>
        <w:rPr>
          <w:rFonts w:hint="default" w:ascii="Nimbus Roman No9 L" w:hAnsi="Nimbus Roman No9 L" w:eastAsia="仿宋_GB2312" w:cs="Nimbus Roman No9 L"/>
          <w:color w:val="auto"/>
          <w:kern w:val="0"/>
          <w:sz w:val="32"/>
        </w:rPr>
        <w:t>年。</w:t>
      </w:r>
    </w:p>
    <w:p w14:paraId="1A924EF5">
      <w:pPr>
        <w:keepNext w:val="0"/>
        <w:keepLines w:val="0"/>
        <w:pageBreakBefore w:val="0"/>
        <w:widowControl w:val="0"/>
        <w:kinsoku/>
        <w:wordWrap/>
        <w:overflowPunct w:val="0"/>
        <w:topLinePunct w:val="0"/>
        <w:autoSpaceDE/>
        <w:autoSpaceDN/>
        <w:bidi w:val="0"/>
        <w:adjustRightInd w:val="0"/>
        <w:snapToGrid w:val="0"/>
        <w:spacing w:line="630" w:lineRule="exact"/>
        <w:ind w:firstLine="643" w:firstLineChars="200"/>
        <w:textAlignment w:val="auto"/>
        <w:rPr>
          <w:rFonts w:hint="default" w:ascii="Nimbus Roman No9 L" w:hAnsi="Nimbus Roman No9 L" w:eastAsia="仿宋_GB2312" w:cs="Nimbus Roman No9 L"/>
          <w:color w:val="auto"/>
          <w:kern w:val="0"/>
          <w:sz w:val="32"/>
          <w:lang w:eastAsia="zh-CN"/>
        </w:rPr>
      </w:pPr>
      <w:r>
        <w:rPr>
          <w:rFonts w:hint="default" w:ascii="Nimbus Roman No9 L" w:hAnsi="Nimbus Roman No9 L" w:eastAsia="楷体_GB2312" w:cs="Nimbus Roman No9 L"/>
          <w:b/>
          <w:bCs/>
          <w:color w:val="auto"/>
          <w:kern w:val="0"/>
          <w:sz w:val="32"/>
        </w:rPr>
        <w:t>补助金额：</w:t>
      </w:r>
      <w:r>
        <w:rPr>
          <w:rFonts w:hint="default" w:ascii="Nimbus Roman No9 L" w:hAnsi="Nimbus Roman No9 L" w:eastAsia="仿宋_GB2312" w:cs="Nimbus Roman No9 L"/>
          <w:color w:val="auto"/>
          <w:kern w:val="0"/>
          <w:sz w:val="32"/>
        </w:rPr>
        <w:t>不超过100万元</w:t>
      </w:r>
      <w:r>
        <w:rPr>
          <w:rFonts w:hint="default" w:ascii="Nimbus Roman No9 L" w:hAnsi="Nimbus Roman No9 L" w:eastAsia="仿宋_GB2312" w:cs="Nimbus Roman No9 L"/>
          <w:color w:val="auto"/>
          <w:kern w:val="0"/>
          <w:sz w:val="32"/>
          <w:lang w:eastAsia="zh-CN"/>
        </w:rPr>
        <w:t>（含）</w:t>
      </w:r>
    </w:p>
    <w:p w14:paraId="349C6BBA">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Nimbus Roman No9 L">
    <w:altName w:val="Aldo"/>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ldo">
    <w:panose1 w:val="02000500000000020004"/>
    <w:charset w:val="00"/>
    <w:family w:val="auto"/>
    <w:pitch w:val="default"/>
    <w:sig w:usb0="800000AF" w:usb1="4000204A"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F5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华文中宋" w:eastAsia="华文中宋"/>
      <w:b/>
      <w:bCs/>
      <w:sz w:val="44"/>
    </w:rPr>
  </w:style>
  <w:style w:type="paragraph" w:styleId="3">
    <w:name w:val="footnote text"/>
    <w:basedOn w:val="1"/>
    <w:next w:val="2"/>
    <w:qFormat/>
    <w:uiPriority w:val="0"/>
    <w:pPr>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2026-04-17T06:55:28Z</dcterms:created>
  <dc:creator>Administrator</dc:creator>
  <cp:lastModifiedBy>liangl8816</cp:lastModifiedBy>
  <dcterms:modified xsi:type="dcterms:W3CDTF">2026-04-17T06:56:06Z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eyJoZGlkIjoiNWNmNmMwN2Y5NmVhMGNhODk4OTU4ZWEwMjk4ZGJkYjAiLCJ1c2VySWQiOiIxMjEyODM2Nzk1In0=</vt:lpwstr>
  </property>
  <property fmtid="{D5CDD505-2E9C-101B-9397-08002B2CF9AE}" pid="4" name="ICV">
    <vt:lpwstr>AF0369EC43C3418AAFF55DD3E6DB2457_12</vt:lpwstr>
  </property>
</Properties>
</file>