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ECAAA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5B27CAB4">
      <w:pPr>
        <w:keepNext w:val="0"/>
        <w:keepLines w:val="0"/>
        <w:pageBreakBefore w:val="0"/>
        <w:widowControl w:val="0"/>
        <w:kinsoku/>
        <w:wordWrap/>
        <w:overflowPunct/>
        <w:topLinePunct w:val="0"/>
        <w:autoSpaceDE/>
        <w:autoSpaceDN/>
        <w:bidi w:val="0"/>
        <w:adjustRightInd/>
        <w:snapToGrid/>
        <w:spacing w:after="157" w:afterLines="50" w:line="560" w:lineRule="exact"/>
        <w:jc w:val="center"/>
        <w:textAlignment w:val="auto"/>
        <w:rPr>
          <w:rFonts w:hint="eastAsia" w:ascii="方正小标宋简体" w:hAnsi="方正小标宋简体" w:eastAsia="方正小标宋简体" w:cs="方正小标宋简体"/>
          <w:sz w:val="44"/>
          <w:szCs w:val="44"/>
          <w:vertAlign w:val="baseline"/>
        </w:rPr>
      </w:pPr>
      <w:r>
        <w:rPr>
          <w:rFonts w:hint="eastAsia" w:ascii="方正小标宋简体" w:hAnsi="方正小标宋简体" w:eastAsia="方正小标宋简体" w:cs="方正小标宋简体"/>
          <w:sz w:val="44"/>
          <w:szCs w:val="44"/>
          <w:lang w:val="en-US" w:eastAsia="zh-CN"/>
        </w:rPr>
        <w:t>湖南省国土空间生态保护修复科研成果名录（第一批）</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4"/>
        <w:gridCol w:w="1946"/>
        <w:gridCol w:w="6780"/>
        <w:gridCol w:w="1800"/>
        <w:gridCol w:w="1485"/>
        <w:gridCol w:w="1497"/>
      </w:tblGrid>
      <w:tr w14:paraId="4DF18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664" w:type="dxa"/>
            <w:vAlign w:val="center"/>
          </w:tcPr>
          <w:p w14:paraId="2CC30FFB">
            <w:pPr>
              <w:keepNext w:val="0"/>
              <w:keepLines w:val="0"/>
              <w:pageBreakBefore w:val="0"/>
              <w:widowControl/>
              <w:kinsoku/>
              <w:wordWrap/>
              <w:overflowPunct/>
              <w:topLinePunct w:val="0"/>
              <w:autoSpaceDE/>
              <w:autoSpaceDN/>
              <w:bidi w:val="0"/>
              <w:adjustRightInd/>
              <w:snapToGrid/>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序号</w:t>
            </w:r>
          </w:p>
        </w:tc>
        <w:tc>
          <w:tcPr>
            <w:tcW w:w="1946" w:type="dxa"/>
            <w:vAlign w:val="center"/>
          </w:tcPr>
          <w:p w14:paraId="6AF810AF">
            <w:pPr>
              <w:keepNext w:val="0"/>
              <w:keepLines w:val="0"/>
              <w:pageBreakBefore w:val="0"/>
              <w:widowControl/>
              <w:kinsoku/>
              <w:wordWrap/>
              <w:overflowPunct/>
              <w:topLinePunct w:val="0"/>
              <w:autoSpaceDE/>
              <w:autoSpaceDN/>
              <w:bidi w:val="0"/>
              <w:adjustRightInd/>
              <w:snapToGrid/>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成果名称</w:t>
            </w:r>
          </w:p>
        </w:tc>
        <w:tc>
          <w:tcPr>
            <w:tcW w:w="6780" w:type="dxa"/>
            <w:vAlign w:val="center"/>
          </w:tcPr>
          <w:p w14:paraId="59B331E2">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黑体" w:cs="Times New Roman"/>
                <w:sz w:val="24"/>
                <w:szCs w:val="24"/>
                <w:vertAlign w:val="baseline"/>
                <w:lang w:val="en-US" w:eastAsia="zh-CN"/>
              </w:rPr>
            </w:pPr>
            <w:r>
              <w:rPr>
                <w:rFonts w:hint="default" w:ascii="Times New Roman" w:hAnsi="Times New Roman" w:eastAsia="黑体" w:cs="Times New Roman"/>
                <w:sz w:val="24"/>
                <w:szCs w:val="24"/>
                <w:vertAlign w:val="baseline"/>
                <w:lang w:val="en-US" w:eastAsia="zh-CN"/>
              </w:rPr>
              <w:t>成果简介</w:t>
            </w:r>
          </w:p>
        </w:tc>
        <w:tc>
          <w:tcPr>
            <w:tcW w:w="1800" w:type="dxa"/>
            <w:vAlign w:val="center"/>
          </w:tcPr>
          <w:p w14:paraId="120CCAB4">
            <w:pPr>
              <w:keepNext w:val="0"/>
              <w:keepLines w:val="0"/>
              <w:pageBreakBefore w:val="0"/>
              <w:widowControl/>
              <w:kinsoku/>
              <w:wordWrap/>
              <w:overflowPunct/>
              <w:topLinePunct w:val="0"/>
              <w:autoSpaceDE/>
              <w:autoSpaceDN/>
              <w:bidi w:val="0"/>
              <w:adjustRightInd/>
              <w:snapToGrid/>
              <w:jc w:val="center"/>
              <w:rPr>
                <w:rFonts w:hint="default"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主要归属领域</w:t>
            </w:r>
          </w:p>
        </w:tc>
        <w:tc>
          <w:tcPr>
            <w:tcW w:w="1485" w:type="dxa"/>
            <w:vAlign w:val="center"/>
          </w:tcPr>
          <w:p w14:paraId="40E85CC9">
            <w:pPr>
              <w:keepNext w:val="0"/>
              <w:keepLines w:val="0"/>
              <w:pageBreakBefore w:val="0"/>
              <w:widowControl/>
              <w:kinsoku/>
              <w:wordWrap/>
              <w:overflowPunct/>
              <w:topLinePunct w:val="0"/>
              <w:autoSpaceDE/>
              <w:autoSpaceDN/>
              <w:bidi w:val="0"/>
              <w:adjustRightInd/>
              <w:snapToGrid/>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申报单位</w:t>
            </w:r>
          </w:p>
        </w:tc>
        <w:tc>
          <w:tcPr>
            <w:tcW w:w="1497" w:type="dxa"/>
            <w:vAlign w:val="center"/>
          </w:tcPr>
          <w:p w14:paraId="0C6A02EA">
            <w:pPr>
              <w:keepNext w:val="0"/>
              <w:keepLines w:val="0"/>
              <w:pageBreakBefore w:val="0"/>
              <w:widowControl/>
              <w:kinsoku/>
              <w:wordWrap/>
              <w:overflowPunct/>
              <w:topLinePunct w:val="0"/>
              <w:autoSpaceDE/>
              <w:autoSpaceDN/>
              <w:bidi w:val="0"/>
              <w:adjustRightInd/>
              <w:snapToGrid/>
              <w:jc w:val="center"/>
              <w:rPr>
                <w:rFonts w:hint="eastAsia" w:ascii="黑体" w:hAnsi="黑体" w:eastAsia="黑体" w:cs="黑体"/>
                <w:sz w:val="24"/>
                <w:szCs w:val="24"/>
                <w:vertAlign w:val="baseline"/>
                <w:lang w:val="en-US" w:eastAsia="zh-CN"/>
              </w:rPr>
            </w:pPr>
            <w:r>
              <w:rPr>
                <w:rFonts w:hint="eastAsia" w:ascii="黑体" w:hAnsi="黑体" w:eastAsia="黑体" w:cs="黑体"/>
                <w:sz w:val="24"/>
                <w:szCs w:val="24"/>
                <w:vertAlign w:val="baseline"/>
                <w:lang w:val="en-US" w:eastAsia="zh-CN"/>
              </w:rPr>
              <w:t>推荐单位</w:t>
            </w:r>
          </w:p>
        </w:tc>
      </w:tr>
      <w:tr w14:paraId="57CCF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4172" w:type="dxa"/>
            <w:gridSpan w:val="6"/>
            <w:vAlign w:val="center"/>
          </w:tcPr>
          <w:p w14:paraId="6E773863">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cs="Times New Roman" w:eastAsiaTheme="minorEastAsia"/>
                <w:sz w:val="24"/>
                <w:szCs w:val="24"/>
                <w:vertAlign w:val="baseline"/>
                <w:lang w:val="en-US" w:eastAsia="zh-CN"/>
              </w:rPr>
            </w:pPr>
            <w:r>
              <w:rPr>
                <w:rFonts w:hint="default" w:ascii="Times New Roman" w:hAnsi="Times New Roman" w:eastAsia="黑体" w:cs="Times New Roman"/>
                <w:sz w:val="24"/>
                <w:szCs w:val="24"/>
                <w:vertAlign w:val="baseline"/>
                <w:lang w:val="en-US" w:eastAsia="zh-CN"/>
              </w:rPr>
              <w:t>适用技术</w:t>
            </w:r>
          </w:p>
        </w:tc>
      </w:tr>
      <w:tr w14:paraId="4C36D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dxa"/>
            <w:vAlign w:val="center"/>
          </w:tcPr>
          <w:p w14:paraId="750F0C86">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cs="Times New Roman" w:eastAsiaTheme="minorEastAsia"/>
                <w:sz w:val="24"/>
                <w:szCs w:val="24"/>
                <w:vertAlign w:val="baseline"/>
                <w:lang w:val="en-US" w:eastAsia="zh-CN"/>
              </w:rPr>
            </w:pPr>
            <w:r>
              <w:rPr>
                <w:rFonts w:hint="default" w:ascii="Times New Roman" w:hAnsi="Times New Roman" w:cs="Times New Roman"/>
                <w:sz w:val="24"/>
                <w:szCs w:val="24"/>
                <w:vertAlign w:val="baseline"/>
                <w:lang w:val="en-US" w:eastAsia="zh-CN"/>
              </w:rPr>
              <w:t>1</w:t>
            </w:r>
          </w:p>
        </w:tc>
        <w:tc>
          <w:tcPr>
            <w:tcW w:w="1946" w:type="dxa"/>
            <w:vAlign w:val="center"/>
          </w:tcPr>
          <w:p w14:paraId="653DFEA2">
            <w:pPr>
              <w:keepNext w:val="0"/>
              <w:keepLines w:val="0"/>
              <w:pageBreakBefore w:val="0"/>
              <w:widowControl/>
              <w:kinsoku/>
              <w:wordWrap/>
              <w:overflowPunct/>
              <w:topLinePunct w:val="0"/>
              <w:autoSpaceDE/>
              <w:autoSpaceDN/>
              <w:bidi w:val="0"/>
              <w:adjustRightInd/>
              <w:snapToGrid/>
              <w:jc w:val="left"/>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复杂工程创面柔性抗蚀速渗基材及装备一体化修复关键技术</w:t>
            </w:r>
          </w:p>
        </w:tc>
        <w:tc>
          <w:tcPr>
            <w:tcW w:w="6780" w:type="dxa"/>
            <w:vAlign w:val="center"/>
          </w:tcPr>
          <w:p w14:paraId="15D2512B">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vertAlign w:val="baseline"/>
              </w:rPr>
            </w:pPr>
            <w:r>
              <w:rPr>
                <w:rFonts w:hint="default" w:ascii="Times New Roman" w:hAnsi="Times New Roman" w:eastAsia="仿宋" w:cs="Times New Roman"/>
                <w:sz w:val="24"/>
                <w:szCs w:val="24"/>
                <w:vertAlign w:val="baseline"/>
              </w:rPr>
              <w:t>该技术以自研柔土基质为核心，通过粘质土、土壤骨架、瓦楞纸、有机肥与柔土稳定剂、疏松剂、活化剂精准复配，构建高持水、高粘聚、高孔隙的稳定团粒结构，持水量≥80%、粘聚力</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15kPa、孔隙率≥40%，兼具强抗冲刷、高入渗、保水保肥、轻量抗冻特性。配套研发专用柔土反应设备，采用双速搅拌工艺解决混配喷播堵塞难题，施工精准高效；按南、北、高原气候筛选乡土植物，构建雨养型近自然植被群落。技术突破传统边坡生态修复基质易冲刷、板结、养护成本高的瓶颈，适配各类困难立地条件下的边坡生态修复，成本降低20%</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40%，6个月植被覆盖率≥80%且后期免养护，实现材料、装备、工艺一体化创新。已获发明专利及实用新型专利5项，先后获自然资源科学技术奖二等奖、绿色矿山科学技术奖二等奖、有色金属工业科学技术奖二等奖等荣誉。</w:t>
            </w:r>
          </w:p>
        </w:tc>
        <w:tc>
          <w:tcPr>
            <w:tcW w:w="1800" w:type="dxa"/>
            <w:vAlign w:val="center"/>
          </w:tcPr>
          <w:p w14:paraId="52350FC2">
            <w:pPr>
              <w:keepNext w:val="0"/>
              <w:keepLines w:val="0"/>
              <w:pageBreakBefore w:val="0"/>
              <w:widowControl/>
              <w:kinsoku/>
              <w:wordWrap/>
              <w:overflowPunct/>
              <w:topLinePunct w:val="0"/>
              <w:autoSpaceDE/>
              <w:autoSpaceDN/>
              <w:bidi w:val="0"/>
              <w:adjustRightInd/>
              <w:snapToGrid/>
              <w:jc w:val="left"/>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其他与生态保护修复相关的创新性和普适性技术、方法、工艺、装备</w:t>
            </w:r>
          </w:p>
        </w:tc>
        <w:tc>
          <w:tcPr>
            <w:tcW w:w="1485" w:type="dxa"/>
            <w:vAlign w:val="center"/>
          </w:tcPr>
          <w:p w14:paraId="50649162">
            <w:pPr>
              <w:keepNext w:val="0"/>
              <w:keepLines w:val="0"/>
              <w:pageBreakBefore w:val="0"/>
              <w:widowControl/>
              <w:kinsoku/>
              <w:wordWrap/>
              <w:overflowPunct/>
              <w:topLinePunct w:val="0"/>
              <w:autoSpaceDE/>
              <w:autoSpaceDN/>
              <w:bidi w:val="0"/>
              <w:adjustRightInd/>
              <w:snapToGrid/>
              <w:jc w:val="left"/>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芷兰生态环境建设有限公司</w:t>
            </w:r>
          </w:p>
        </w:tc>
        <w:tc>
          <w:tcPr>
            <w:tcW w:w="1497" w:type="dxa"/>
            <w:vAlign w:val="center"/>
          </w:tcPr>
          <w:p w14:paraId="0E0BE4C4">
            <w:pPr>
              <w:keepNext w:val="0"/>
              <w:keepLines w:val="0"/>
              <w:pageBreakBefore w:val="0"/>
              <w:widowControl/>
              <w:kinsoku/>
              <w:wordWrap/>
              <w:overflowPunct/>
              <w:topLinePunct w:val="0"/>
              <w:autoSpaceDE/>
              <w:autoSpaceDN/>
              <w:bidi w:val="0"/>
              <w:adjustRightInd/>
              <w:snapToGrid/>
              <w:jc w:val="left"/>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湖南省地质灾害防治与生态修复学会</w:t>
            </w:r>
          </w:p>
        </w:tc>
      </w:tr>
      <w:tr w14:paraId="39C28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dxa"/>
            <w:vAlign w:val="center"/>
          </w:tcPr>
          <w:p w14:paraId="192A433E">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cs="Times New Roman" w:eastAsiaTheme="minorEastAsia"/>
                <w:sz w:val="24"/>
                <w:szCs w:val="24"/>
                <w:vertAlign w:val="baseline"/>
                <w:lang w:val="en-US" w:eastAsia="zh-CN"/>
              </w:rPr>
            </w:pPr>
            <w:r>
              <w:rPr>
                <w:rFonts w:hint="default" w:ascii="Times New Roman" w:hAnsi="Times New Roman" w:cs="Times New Roman"/>
                <w:sz w:val="24"/>
                <w:szCs w:val="24"/>
                <w:vertAlign w:val="baseline"/>
                <w:lang w:val="en-US" w:eastAsia="zh-CN"/>
              </w:rPr>
              <w:t>2</w:t>
            </w:r>
          </w:p>
        </w:tc>
        <w:tc>
          <w:tcPr>
            <w:tcW w:w="1946" w:type="dxa"/>
            <w:vAlign w:val="center"/>
          </w:tcPr>
          <w:p w14:paraId="6BFF5FB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基于NbS的平原河网地区流域水生态修复集成技术</w:t>
            </w:r>
          </w:p>
        </w:tc>
        <w:tc>
          <w:tcPr>
            <w:tcW w:w="6780" w:type="dxa"/>
            <w:vAlign w:val="center"/>
          </w:tcPr>
          <w:p w14:paraId="5F077331">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vertAlign w:val="baseline"/>
              </w:rPr>
            </w:pPr>
            <w:r>
              <w:rPr>
                <w:rFonts w:hint="default" w:ascii="Times New Roman" w:hAnsi="Times New Roman" w:eastAsia="仿宋" w:cs="Times New Roman"/>
                <w:sz w:val="24"/>
                <w:szCs w:val="24"/>
                <w:vertAlign w:val="baseline"/>
              </w:rPr>
              <w:t>该技术立足NbS（基于自然的解决方案）理念，聚焦平原河网流域开发程度高、污染源复杂、水动力不足、生态退化等问题，靶向破解各类生态胁迫因子，助力河流生态系统修复，集成四项核心技术。一是水质水量耦合模型仿真，模拟污染迁移与源汇特征，锁定污染区及敏感河段，配套差异化治理方案；二是农业面源</w:t>
            </w:r>
            <w:r>
              <w:rPr>
                <w:rFonts w:hint="eastAsia"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截-净-蓄-用</w:t>
            </w:r>
            <w:r>
              <w:rPr>
                <w:rFonts w:hint="eastAsia"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系统，融合种植结构优化、生态渠塘、尾水回用等手段，入河污染总量减少25%</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44%，水资源利用率提升30%以上；三是河湖生境重构，依托水位梯度打造</w:t>
            </w:r>
            <w:r>
              <w:rPr>
                <w:rFonts w:hint="eastAsia"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水生植被阶梯</w:t>
            </w:r>
            <w:r>
              <w:rPr>
                <w:rFonts w:hint="eastAsia"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，修复生态空间、增强水体自净能力，生物多样性提升20%</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35%；四是生态清淤结合底泥资源化利用，运用精准清淤、快速脱水工艺避免二次污染，底泥可制砖、矿山回填，降低工程固废处置成本。集成技术实现生态、环境、水资源协同增效，可广泛复制推广，与湖南多雨气候、水系发达、农业生产集中的地域特点相适配，已获发明专利2项，软著3项，省级以上奖励5项，编制地方标准和地方作业指南各1项。</w:t>
            </w:r>
          </w:p>
        </w:tc>
        <w:tc>
          <w:tcPr>
            <w:tcW w:w="1800" w:type="dxa"/>
            <w:vAlign w:val="center"/>
          </w:tcPr>
          <w:p w14:paraId="06D1BBCA">
            <w:pPr>
              <w:keepNext w:val="0"/>
              <w:keepLines w:val="0"/>
              <w:pageBreakBefore w:val="0"/>
              <w:widowControl/>
              <w:kinsoku/>
              <w:wordWrap/>
              <w:overflowPunct/>
              <w:topLinePunct w:val="0"/>
              <w:autoSpaceDE/>
              <w:autoSpaceDN/>
              <w:bidi w:val="0"/>
              <w:adjustRightInd/>
              <w:snapToGrid/>
              <w:jc w:val="left"/>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水（含河湖岸线）生态保护修复</w:t>
            </w:r>
          </w:p>
        </w:tc>
        <w:tc>
          <w:tcPr>
            <w:tcW w:w="1485" w:type="dxa"/>
            <w:vAlign w:val="center"/>
          </w:tcPr>
          <w:p w14:paraId="3D09774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中国电建集团中南勘测设计研究院有限公司</w:t>
            </w:r>
          </w:p>
        </w:tc>
        <w:tc>
          <w:tcPr>
            <w:tcW w:w="1497" w:type="dxa"/>
            <w:vAlign w:val="center"/>
          </w:tcPr>
          <w:p w14:paraId="49EABACE">
            <w:pPr>
              <w:keepNext w:val="0"/>
              <w:keepLines w:val="0"/>
              <w:pageBreakBefore w:val="0"/>
              <w:widowControl/>
              <w:kinsoku/>
              <w:wordWrap/>
              <w:overflowPunct/>
              <w:topLinePunct w:val="0"/>
              <w:autoSpaceDE/>
              <w:autoSpaceDN/>
              <w:bidi w:val="0"/>
              <w:adjustRightInd/>
              <w:snapToGrid/>
              <w:jc w:val="left"/>
              <w:rPr>
                <w:rFonts w:hint="eastAsia" w:ascii="仿宋" w:hAnsi="仿宋" w:eastAsia="仿宋" w:cs="仿宋"/>
                <w:sz w:val="24"/>
                <w:szCs w:val="24"/>
                <w:vertAlign w:val="baseline"/>
              </w:rPr>
            </w:pPr>
            <w:r>
              <w:rPr>
                <w:rFonts w:hint="eastAsia" w:ascii="仿宋" w:hAnsi="仿宋" w:eastAsia="仿宋" w:cs="仿宋"/>
                <w:sz w:val="24"/>
                <w:szCs w:val="24"/>
                <w:vertAlign w:val="baseline"/>
                <w:lang w:val="en-US" w:eastAsia="zh-CN"/>
              </w:rPr>
              <w:t>湖南省地质灾害防治与生态修复学会</w:t>
            </w:r>
          </w:p>
        </w:tc>
      </w:tr>
      <w:tr w14:paraId="760D8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dxa"/>
            <w:vAlign w:val="center"/>
          </w:tcPr>
          <w:p w14:paraId="0ED25EAB">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cs="Times New Roman" w:eastAsiaTheme="minorEastAsia"/>
                <w:sz w:val="24"/>
                <w:szCs w:val="24"/>
                <w:vertAlign w:val="baseline"/>
                <w:lang w:val="en-US" w:eastAsia="zh-CN"/>
              </w:rPr>
            </w:pPr>
            <w:r>
              <w:rPr>
                <w:rFonts w:hint="default" w:ascii="Times New Roman" w:hAnsi="Times New Roman" w:cs="Times New Roman"/>
                <w:sz w:val="24"/>
                <w:szCs w:val="24"/>
                <w:vertAlign w:val="baseline"/>
                <w:lang w:val="en-US" w:eastAsia="zh-CN"/>
              </w:rPr>
              <w:t>3</w:t>
            </w:r>
          </w:p>
        </w:tc>
        <w:tc>
          <w:tcPr>
            <w:tcW w:w="1946" w:type="dxa"/>
            <w:vAlign w:val="center"/>
          </w:tcPr>
          <w:p w14:paraId="3EEBDA3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仿宋" w:cs="Times New Roman"/>
                <w:sz w:val="24"/>
                <w:szCs w:val="24"/>
                <w:vertAlign w:val="baseline"/>
              </w:rPr>
            </w:pPr>
            <w:r>
              <w:rPr>
                <w:rFonts w:ascii="仿宋" w:hAnsi="仿宋" w:eastAsia="仿宋" w:cs="仿宋"/>
                <w:sz w:val="24"/>
              </w:rPr>
              <w:t>多孔硅基超稳成矿化材料修复多金属污染土壤技术</w:t>
            </w:r>
          </w:p>
        </w:tc>
        <w:tc>
          <w:tcPr>
            <w:tcW w:w="6780" w:type="dxa"/>
            <w:vAlign w:val="center"/>
          </w:tcPr>
          <w:p w14:paraId="3E2E47C8">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vertAlign w:val="baseline"/>
              </w:rPr>
            </w:pPr>
            <w:r>
              <w:rPr>
                <w:rFonts w:hint="default" w:ascii="Times New Roman" w:hAnsi="Times New Roman" w:eastAsia="仿宋" w:cs="Times New Roman"/>
                <w:sz w:val="24"/>
                <w:szCs w:val="24"/>
                <w:vertAlign w:val="baseline"/>
              </w:rPr>
              <w:t>该技术针对土壤重金属污染修复难题，基于不同重金属离子特性，建立超低溶度积（Ksp）矿化产物的多相态靶向矿化剂分子设计原则，研制系列纳微尺度高靶向超稳矿化材料，首次实现8种以上多元重金属同步矿化稳定。开发载体表面电位诱导矿化剂原位合成与组装及结构调控的修复材料合成新技术，研发多相流场调控及载体</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矿化剂原位界面组装反应器，形成基于表</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界面调控的修复材料生产工艺。建立土壤重金属原位精准矿化稳定化修复技术体系，开发污染土壤多技术耦合与经济（农）作物适配修复策略和方法，形成土壤重金属修复与安全利用效果多维评价体系。技术已获发明专利8项，累计发表学术论文40余篇，先后获湖南省环境保护科学技术一等奖、中国有色金属工业科学技术二等奖、中国技术市场协会金桥奖个人一等奖。</w:t>
            </w:r>
          </w:p>
        </w:tc>
        <w:tc>
          <w:tcPr>
            <w:tcW w:w="1800" w:type="dxa"/>
            <w:vAlign w:val="center"/>
          </w:tcPr>
          <w:p w14:paraId="3256F0F2">
            <w:pPr>
              <w:keepNext w:val="0"/>
              <w:keepLines w:val="0"/>
              <w:pageBreakBefore w:val="0"/>
              <w:widowControl/>
              <w:kinsoku/>
              <w:wordWrap/>
              <w:overflowPunct/>
              <w:topLinePunct w:val="0"/>
              <w:autoSpaceDE/>
              <w:autoSpaceDN/>
              <w:bidi w:val="0"/>
              <w:adjustRightInd/>
              <w:snapToGrid/>
              <w:jc w:val="left"/>
              <w:rPr>
                <w:rFonts w:hint="eastAsia" w:ascii="仿宋" w:hAnsi="仿宋" w:eastAsia="仿宋" w:cs="仿宋"/>
                <w:sz w:val="24"/>
                <w:szCs w:val="24"/>
                <w:vertAlign w:val="baseline"/>
              </w:rPr>
            </w:pPr>
            <w:r>
              <w:rPr>
                <w:rFonts w:hint="eastAsia" w:ascii="仿宋" w:hAnsi="仿宋" w:eastAsia="仿宋" w:cs="仿宋"/>
                <w:sz w:val="24"/>
                <w:szCs w:val="24"/>
                <w:vertAlign w:val="baseline"/>
                <w:lang w:val="en-US" w:eastAsia="zh-CN"/>
              </w:rPr>
              <w:t>其他与生态保护修复相关的创新性和普适性技术、方法、工艺、装备</w:t>
            </w:r>
          </w:p>
        </w:tc>
        <w:tc>
          <w:tcPr>
            <w:tcW w:w="1485" w:type="dxa"/>
            <w:vAlign w:val="center"/>
          </w:tcPr>
          <w:p w14:paraId="1FC7CCD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lang w:eastAsia="zh-CN"/>
              </w:rPr>
            </w:pPr>
            <w:r>
              <w:rPr>
                <w:rFonts w:hint="eastAsia" w:ascii="仿宋" w:hAnsi="仿宋" w:eastAsia="仿宋" w:cs="仿宋"/>
                <w:sz w:val="24"/>
              </w:rPr>
              <w:t>中南大学资源加工与生物工程学院</w:t>
            </w:r>
            <w:r>
              <w:rPr>
                <w:rFonts w:hint="eastAsia" w:ascii="仿宋" w:hAnsi="仿宋" w:eastAsia="仿宋" w:cs="仿宋"/>
                <w:sz w:val="24"/>
                <w:lang w:eastAsia="zh-CN"/>
              </w:rPr>
              <w:t>、</w:t>
            </w:r>
            <w:r>
              <w:rPr>
                <w:rFonts w:hint="eastAsia" w:ascii="仿宋" w:hAnsi="仿宋" w:eastAsia="仿宋" w:cs="仿宋"/>
                <w:i w:val="0"/>
                <w:iCs w:val="0"/>
                <w:color w:val="000000"/>
                <w:kern w:val="0"/>
                <w:sz w:val="24"/>
                <w:szCs w:val="24"/>
                <w:u w:val="none"/>
                <w:lang w:val="en-US" w:eastAsia="zh-CN" w:bidi="ar"/>
              </w:rPr>
              <w:t>湖南省地质地理信息所(湖南省地质大数据中心）</w:t>
            </w:r>
          </w:p>
        </w:tc>
        <w:tc>
          <w:tcPr>
            <w:tcW w:w="1497" w:type="dxa"/>
            <w:vAlign w:val="center"/>
          </w:tcPr>
          <w:p w14:paraId="715647AD">
            <w:pPr>
              <w:keepNext w:val="0"/>
              <w:keepLines w:val="0"/>
              <w:pageBreakBefore w:val="0"/>
              <w:widowControl/>
              <w:kinsoku/>
              <w:wordWrap/>
              <w:overflowPunct/>
              <w:topLinePunct w:val="0"/>
              <w:autoSpaceDE/>
              <w:autoSpaceDN/>
              <w:bidi w:val="0"/>
              <w:adjustRightInd/>
              <w:snapToGrid/>
              <w:jc w:val="left"/>
              <w:rPr>
                <w:rFonts w:hint="eastAsia" w:ascii="仿宋" w:hAnsi="仿宋" w:eastAsia="仿宋" w:cs="仿宋"/>
                <w:sz w:val="24"/>
                <w:szCs w:val="24"/>
                <w:vertAlign w:val="baseline"/>
                <w:lang w:val="en-US" w:eastAsia="zh-CN"/>
              </w:rPr>
            </w:pPr>
            <w:r>
              <w:rPr>
                <w:rFonts w:hint="eastAsia" w:ascii="仿宋" w:hAnsi="仿宋" w:eastAsia="仿宋" w:cs="仿宋"/>
                <w:i w:val="0"/>
                <w:iCs w:val="0"/>
                <w:color w:val="000000"/>
                <w:kern w:val="0"/>
                <w:sz w:val="24"/>
                <w:szCs w:val="24"/>
                <w:u w:val="none"/>
                <w:lang w:val="en-US" w:eastAsia="zh-CN" w:bidi="ar"/>
              </w:rPr>
              <w:t>中南大学</w:t>
            </w:r>
          </w:p>
        </w:tc>
      </w:tr>
      <w:tr w14:paraId="1248C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dxa"/>
            <w:vAlign w:val="center"/>
          </w:tcPr>
          <w:p w14:paraId="28B2F9A7">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4</w:t>
            </w:r>
          </w:p>
        </w:tc>
        <w:tc>
          <w:tcPr>
            <w:tcW w:w="1946" w:type="dxa"/>
            <w:vAlign w:val="center"/>
          </w:tcPr>
          <w:p w14:paraId="189FD90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仿宋" w:cs="Times New Roman"/>
                <w:i w:val="0"/>
                <w:iCs w:val="0"/>
                <w:color w:val="000000"/>
                <w:kern w:val="0"/>
                <w:sz w:val="24"/>
                <w:szCs w:val="24"/>
                <w:u w:val="none"/>
                <w:lang w:val="en-US" w:eastAsia="zh-CN" w:bidi="ar"/>
              </w:rPr>
            </w:pPr>
            <w:r>
              <w:rPr>
                <w:rFonts w:hint="default" w:ascii="Times New Roman" w:hAnsi="Times New Roman" w:eastAsia="仿宋" w:cs="Times New Roman"/>
                <w:i w:val="0"/>
                <w:iCs w:val="0"/>
                <w:color w:val="000000"/>
                <w:kern w:val="0"/>
                <w:sz w:val="24"/>
                <w:szCs w:val="24"/>
                <w:u w:val="none"/>
                <w:lang w:val="en-US" w:eastAsia="zh-CN" w:bidi="ar"/>
              </w:rPr>
              <w:t>矿山高陡边坡植被重建技术</w:t>
            </w:r>
          </w:p>
        </w:tc>
        <w:tc>
          <w:tcPr>
            <w:tcW w:w="6780" w:type="dxa"/>
            <w:vAlign w:val="center"/>
          </w:tcPr>
          <w:p w14:paraId="4C50CCBC">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vertAlign w:val="baseline"/>
              </w:rPr>
            </w:pPr>
            <w:r>
              <w:rPr>
                <w:rFonts w:hint="default" w:ascii="Times New Roman" w:hAnsi="Times New Roman" w:eastAsia="仿宋" w:cs="Times New Roman"/>
                <w:sz w:val="24"/>
                <w:szCs w:val="24"/>
                <w:vertAlign w:val="baseline"/>
              </w:rPr>
              <w:t>该技术以</w:t>
            </w:r>
            <w:r>
              <w:rPr>
                <w:rFonts w:hint="eastAsia"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藤立方</w:t>
            </w:r>
            <w:r>
              <w:rPr>
                <w:rFonts w:hint="eastAsia"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技术体系为核心，成功攻克70°以上高陡边坡复绿困难、植被易退化及工程造价高昂等行业难题。技术筛选10种吸附类及缠绕类适生藤本植物，培育2～3年生须根系发达的容器苗，科学配置落叶与常绿、速生与慢生藤本组合，采用</w:t>
            </w:r>
            <w:r>
              <w:rPr>
                <w:rFonts w:hint="eastAsia"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上爬下垂</w:t>
            </w:r>
            <w:r>
              <w:rPr>
                <w:rFonts w:hint="eastAsia"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立体复绿模式，在春秋季按4株/m² 密度定植；在坡脚或马道平台构筑宽、高均不低于50cm的种植基槽，配施有机质丰富、肥力持久的有机基质土，配套攀爬网或牵引绳引导快速攀附，并集成自动节水喷灌系统，经1～2年养护构建高陡边坡稳定植物群落。该成套工艺及配套产品广泛适用于70°及以上矿山高陡岩质边坡等困难立地的植被重建。成果已获授权国家发明专利3项、实用新型专利2项，荣获省级行业科学技术或科技进步奖4项，并入选</w:t>
            </w:r>
            <w:r>
              <w:rPr>
                <w:rFonts w:hint="eastAsia" w:ascii="Times New Roman" w:hAnsi="Times New Roman" w:eastAsia="仿宋" w:cs="Times New Roman"/>
                <w:sz w:val="24"/>
                <w:szCs w:val="24"/>
                <w:vertAlign w:val="baseline"/>
                <w:lang w:val="en-US" w:eastAsia="zh-CN"/>
              </w:rPr>
              <w:t>中国地质灾害防治与生态修复</w:t>
            </w:r>
            <w:r>
              <w:rPr>
                <w:rFonts w:hint="default" w:ascii="Times New Roman" w:hAnsi="Times New Roman" w:eastAsia="仿宋" w:cs="Times New Roman"/>
                <w:sz w:val="24"/>
                <w:szCs w:val="24"/>
                <w:vertAlign w:val="baseline"/>
              </w:rPr>
              <w:t>协会国土空间生态修复创新适用技术推广名录（第</w:t>
            </w:r>
            <w:r>
              <w:rPr>
                <w:rFonts w:hint="eastAsia" w:ascii="Times New Roman" w:hAnsi="Times New Roman" w:eastAsia="仿宋" w:cs="Times New Roman"/>
                <w:sz w:val="24"/>
                <w:szCs w:val="24"/>
                <w:vertAlign w:val="baseline"/>
                <w:lang w:val="en-US" w:eastAsia="zh-CN"/>
              </w:rPr>
              <w:t>一</w:t>
            </w:r>
            <w:r>
              <w:rPr>
                <w:rFonts w:hint="default" w:ascii="Times New Roman" w:hAnsi="Times New Roman" w:eastAsia="仿宋" w:cs="Times New Roman"/>
                <w:sz w:val="24"/>
                <w:szCs w:val="24"/>
                <w:vertAlign w:val="baseline"/>
              </w:rPr>
              <w:t>批）。</w:t>
            </w:r>
          </w:p>
        </w:tc>
        <w:tc>
          <w:tcPr>
            <w:tcW w:w="1800" w:type="dxa"/>
            <w:shd w:val="clear" w:color="auto" w:fill="auto"/>
            <w:vAlign w:val="center"/>
          </w:tcPr>
          <w:p w14:paraId="4080FD1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矿山生态保护修复</w:t>
            </w:r>
          </w:p>
        </w:tc>
        <w:tc>
          <w:tcPr>
            <w:tcW w:w="1485" w:type="dxa"/>
            <w:shd w:val="clear" w:color="auto" w:fill="auto"/>
            <w:vAlign w:val="center"/>
          </w:tcPr>
          <w:p w14:paraId="4EFB375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湖南中核建设工程有限公司</w:t>
            </w:r>
          </w:p>
        </w:tc>
        <w:tc>
          <w:tcPr>
            <w:tcW w:w="1497" w:type="dxa"/>
            <w:vAlign w:val="center"/>
          </w:tcPr>
          <w:p w14:paraId="134B0218">
            <w:pPr>
              <w:keepNext w:val="0"/>
              <w:keepLines w:val="0"/>
              <w:pageBreakBefore w:val="0"/>
              <w:widowControl/>
              <w:kinsoku/>
              <w:wordWrap/>
              <w:overflowPunct/>
              <w:topLinePunct w:val="0"/>
              <w:autoSpaceDE/>
              <w:autoSpaceDN/>
              <w:bidi w:val="0"/>
              <w:adjustRightInd/>
              <w:snapToGrid/>
              <w:jc w:val="left"/>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sz w:val="24"/>
                <w:szCs w:val="24"/>
                <w:vertAlign w:val="baseline"/>
                <w:lang w:val="en-US" w:eastAsia="zh-CN"/>
              </w:rPr>
              <w:t>湖南省地质灾害防治与生态修复学会</w:t>
            </w:r>
          </w:p>
        </w:tc>
      </w:tr>
      <w:tr w14:paraId="0BCC2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dxa"/>
            <w:vAlign w:val="center"/>
          </w:tcPr>
          <w:p w14:paraId="55D06F66">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5</w:t>
            </w:r>
          </w:p>
        </w:tc>
        <w:tc>
          <w:tcPr>
            <w:tcW w:w="1946" w:type="dxa"/>
            <w:vAlign w:val="center"/>
          </w:tcPr>
          <w:p w14:paraId="40A0AF3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仿宋" w:cs="Times New Roman"/>
                <w:sz w:val="24"/>
                <w:szCs w:val="24"/>
                <w:vertAlign w:val="baseline"/>
              </w:rPr>
            </w:pPr>
            <w:r>
              <w:rPr>
                <w:rFonts w:hint="default" w:ascii="Times New Roman" w:hAnsi="Times New Roman" w:eastAsia="仿宋" w:cs="Times New Roman"/>
                <w:i w:val="0"/>
                <w:iCs w:val="0"/>
                <w:color w:val="000000"/>
                <w:kern w:val="0"/>
                <w:sz w:val="24"/>
                <w:szCs w:val="24"/>
                <w:u w:val="none"/>
                <w:lang w:val="en-US" w:eastAsia="zh-CN" w:bidi="ar"/>
              </w:rPr>
              <w:t>“湘地”稻田土壤镉污染修复技术</w:t>
            </w:r>
          </w:p>
        </w:tc>
        <w:tc>
          <w:tcPr>
            <w:tcW w:w="6780" w:type="dxa"/>
            <w:vAlign w:val="center"/>
          </w:tcPr>
          <w:p w14:paraId="6D76CA7F">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vertAlign w:val="baseline"/>
              </w:rPr>
            </w:pPr>
            <w:r>
              <w:rPr>
                <w:rFonts w:hint="default" w:ascii="Times New Roman" w:hAnsi="Times New Roman" w:eastAsia="仿宋" w:cs="Times New Roman"/>
                <w:sz w:val="24"/>
                <w:szCs w:val="24"/>
                <w:vertAlign w:val="baseline"/>
              </w:rPr>
              <w:t>该技术依托《湖南省农用地土壤污染风险管控与修复试点工作》实践基础研发，以天然沸石、天然石灰石、农用磷酸二氢钾为主剂，蛭石、动物粪便、腐熟剂和硅肥为辅剂，研发多效土壤改良剂，实现增肥、减污与活硒协同增效：稻米Cd富集系数降低25.19%，As富集系数降低34.18%，稻米硒含量提高16.4%，土壤有效磷提高25.9%，稻米产量提高6.16%。基于上述协同技术二次开发的 "湘地" 稻田土壤镉污染修复技术，使稻米镉含量降低85%以上，土壤水溶态和离子交换态镉含量降低约40%，成效已维持至少5年10季，预期可维持10年以上。技术在益阳、长沙、郴州、岳阳多地开展省级试点、中试、示范与推广应用，综合成本低于200元</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亩・季，稻米镉安全利用率提高至95%以上，米镉均值降低70%以上，万余亩受污染耕地得以安全利用。技术降镉高效性、长效性和普适性突出，成本可控，打造了镉污染农田安全利用省级样板工程，社会生态效益显著。</w:t>
            </w:r>
          </w:p>
        </w:tc>
        <w:tc>
          <w:tcPr>
            <w:tcW w:w="1800" w:type="dxa"/>
            <w:vAlign w:val="center"/>
          </w:tcPr>
          <w:p w14:paraId="359C7F18">
            <w:pPr>
              <w:keepNext w:val="0"/>
              <w:keepLines w:val="0"/>
              <w:pageBreakBefore w:val="0"/>
              <w:widowControl/>
              <w:kinsoku/>
              <w:wordWrap/>
              <w:overflowPunct/>
              <w:topLinePunct w:val="0"/>
              <w:autoSpaceDE/>
              <w:autoSpaceDN/>
              <w:bidi w:val="0"/>
              <w:adjustRightInd/>
              <w:snapToGrid/>
              <w:jc w:val="left"/>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土壤生态保护修复（含土壤退化治理与污染防控）</w:t>
            </w:r>
          </w:p>
        </w:tc>
        <w:tc>
          <w:tcPr>
            <w:tcW w:w="1485" w:type="dxa"/>
            <w:vAlign w:val="center"/>
          </w:tcPr>
          <w:p w14:paraId="03E9A10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湖南省地球物理地球化学调查所</w:t>
            </w:r>
          </w:p>
        </w:tc>
        <w:tc>
          <w:tcPr>
            <w:tcW w:w="1497" w:type="dxa"/>
            <w:vAlign w:val="center"/>
          </w:tcPr>
          <w:p w14:paraId="01551C8F">
            <w:pPr>
              <w:keepNext w:val="0"/>
              <w:keepLines w:val="0"/>
              <w:pageBreakBefore w:val="0"/>
              <w:widowControl/>
              <w:kinsoku/>
              <w:wordWrap/>
              <w:overflowPunct/>
              <w:topLinePunct w:val="0"/>
              <w:autoSpaceDE/>
              <w:autoSpaceDN/>
              <w:bidi w:val="0"/>
              <w:adjustRightInd/>
              <w:snapToGrid/>
              <w:jc w:val="left"/>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湖南省地质院</w:t>
            </w:r>
          </w:p>
        </w:tc>
      </w:tr>
      <w:tr w14:paraId="73C01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dxa"/>
            <w:vAlign w:val="center"/>
          </w:tcPr>
          <w:p w14:paraId="0FE10ABC">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6</w:t>
            </w:r>
          </w:p>
        </w:tc>
        <w:tc>
          <w:tcPr>
            <w:tcW w:w="1946" w:type="dxa"/>
            <w:vAlign w:val="center"/>
          </w:tcPr>
          <w:p w14:paraId="6C78940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仿宋" w:cs="Times New Roman"/>
                <w:sz w:val="24"/>
                <w:szCs w:val="24"/>
                <w:vertAlign w:val="baseline"/>
              </w:rPr>
            </w:pPr>
            <w:bookmarkStart w:id="0" w:name="OLE_LINK1"/>
            <w:r>
              <w:rPr>
                <w:rFonts w:hint="eastAsia" w:ascii="仿宋" w:hAnsi="仿宋" w:eastAsia="仿宋" w:cs="仿宋"/>
                <w:sz w:val="24"/>
              </w:rPr>
              <w:t>环</w:t>
            </w:r>
            <w:r>
              <w:rPr>
                <w:rFonts w:hint="eastAsia" w:ascii="Times New Roman" w:hAnsi="Times New Roman" w:eastAsia="仿宋" w:cs="Times New Roman"/>
                <w:sz w:val="24"/>
              </w:rPr>
              <w:t>洞庭湖区国土空间生态保护修复生态功能监测评估关键技术</w:t>
            </w:r>
            <w:bookmarkEnd w:id="0"/>
          </w:p>
        </w:tc>
        <w:tc>
          <w:tcPr>
            <w:tcW w:w="6780" w:type="dxa"/>
            <w:vAlign w:val="center"/>
          </w:tcPr>
          <w:p w14:paraId="16C3F030">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vertAlign w:val="baseline"/>
              </w:rPr>
            </w:pPr>
            <w:r>
              <w:rPr>
                <w:rFonts w:hint="eastAsia" w:ascii="仿宋" w:hAnsi="仿宋" w:eastAsia="仿宋" w:cs="仿宋"/>
                <w:sz w:val="24"/>
              </w:rPr>
              <w:t>该技术</w:t>
            </w:r>
            <w:r>
              <w:rPr>
                <w:rFonts w:ascii="Times New Roman" w:hAnsi="Times New Roman" w:eastAsia="仿宋" w:cs="Times New Roman"/>
                <w:sz w:val="24"/>
              </w:rPr>
              <w:t>成果集成了人工智能遥感解译、GEE云监测阈值诊断、多情景模拟及</w:t>
            </w:r>
            <w:r>
              <w:rPr>
                <w:rFonts w:hint="eastAsia" w:ascii="Times New Roman" w:hAnsi="Times New Roman" w:eastAsia="仿宋" w:cs="Times New Roman"/>
                <w:sz w:val="24"/>
              </w:rPr>
              <w:t>修复</w:t>
            </w:r>
            <w:r>
              <w:rPr>
                <w:rFonts w:ascii="Times New Roman" w:hAnsi="Times New Roman" w:eastAsia="仿宋" w:cs="Times New Roman"/>
                <w:sz w:val="24"/>
              </w:rPr>
              <w:t>成效评估</w:t>
            </w:r>
            <w:r>
              <w:rPr>
                <w:rFonts w:hint="eastAsia" w:ascii="Times New Roman" w:hAnsi="Times New Roman" w:eastAsia="仿宋" w:cs="Times New Roman"/>
                <w:sz w:val="24"/>
              </w:rPr>
              <w:t>手段</w:t>
            </w:r>
            <w:r>
              <w:rPr>
                <w:rFonts w:ascii="Times New Roman" w:hAnsi="Times New Roman" w:eastAsia="仿宋" w:cs="Times New Roman"/>
                <w:sz w:val="24"/>
              </w:rPr>
              <w:t>，构建了</w:t>
            </w:r>
            <w:r>
              <w:rPr>
                <w:rFonts w:hint="eastAsia" w:ascii="Times New Roman" w:hAnsi="Times New Roman" w:eastAsia="仿宋" w:cs="Times New Roman"/>
                <w:sz w:val="24"/>
                <w:lang w:eastAsia="zh-CN"/>
              </w:rPr>
              <w:t>“</w:t>
            </w:r>
            <w:r>
              <w:rPr>
                <w:rFonts w:ascii="Times New Roman" w:hAnsi="Times New Roman" w:eastAsia="仿宋" w:cs="Times New Roman"/>
                <w:sz w:val="24"/>
              </w:rPr>
              <w:t>数据获取→动态监测→驱动诊断→情景模拟→成效评估</w:t>
            </w:r>
            <w:r>
              <w:rPr>
                <w:rFonts w:hint="eastAsia" w:ascii="Times New Roman" w:hAnsi="Times New Roman" w:eastAsia="仿宋" w:cs="Times New Roman"/>
                <w:sz w:val="24"/>
                <w:lang w:eastAsia="zh-CN"/>
              </w:rPr>
              <w:t>”</w:t>
            </w:r>
            <w:r>
              <w:rPr>
                <w:rFonts w:ascii="Times New Roman" w:hAnsi="Times New Roman" w:eastAsia="仿宋" w:cs="Times New Roman"/>
                <w:sz w:val="24"/>
              </w:rPr>
              <w:t>全链条技术体系。</w:t>
            </w:r>
            <w:r>
              <w:rPr>
                <w:rFonts w:hint="eastAsia" w:ascii="Times New Roman" w:hAnsi="Times New Roman" w:eastAsia="仿宋" w:cs="Times New Roman"/>
                <w:sz w:val="24"/>
              </w:rPr>
              <w:t>具体在于</w:t>
            </w:r>
            <w:r>
              <w:rPr>
                <w:rFonts w:ascii="Times New Roman" w:hAnsi="Times New Roman" w:eastAsia="仿宋" w:cs="Times New Roman"/>
                <w:sz w:val="24"/>
              </w:rPr>
              <w:t>：</w:t>
            </w:r>
            <w:r>
              <w:rPr>
                <w:rFonts w:hint="eastAsia" w:ascii="Times New Roman" w:hAnsi="Times New Roman" w:eastAsia="仿宋" w:cs="Times New Roman"/>
                <w:sz w:val="24"/>
              </w:rPr>
              <w:t>基于</w:t>
            </w:r>
            <w:r>
              <w:rPr>
                <w:rFonts w:ascii="Times New Roman" w:hAnsi="Times New Roman" w:eastAsia="仿宋" w:cs="Times New Roman"/>
                <w:sz w:val="24"/>
              </w:rPr>
              <w:t>面向对象多尺度分割</w:t>
            </w:r>
            <w:r>
              <w:rPr>
                <w:rFonts w:hint="eastAsia" w:ascii="Times New Roman" w:hAnsi="Times New Roman" w:eastAsia="仿宋" w:cs="Times New Roman"/>
                <w:sz w:val="24"/>
              </w:rPr>
              <w:t>、</w:t>
            </w:r>
            <w:r>
              <w:rPr>
                <w:rFonts w:ascii="Times New Roman" w:hAnsi="Times New Roman" w:eastAsia="仿宋" w:cs="Times New Roman"/>
                <w:sz w:val="24"/>
              </w:rPr>
              <w:t>机器学习分类</w:t>
            </w:r>
            <w:r>
              <w:rPr>
                <w:rFonts w:hint="eastAsia" w:ascii="Times New Roman" w:hAnsi="Times New Roman" w:eastAsia="仿宋" w:cs="Times New Roman"/>
                <w:sz w:val="24"/>
              </w:rPr>
              <w:t>方法，</w:t>
            </w:r>
            <w:r>
              <w:rPr>
                <w:rFonts w:ascii="Times New Roman" w:hAnsi="Times New Roman" w:eastAsia="仿宋" w:cs="Times New Roman"/>
                <w:sz w:val="24"/>
              </w:rPr>
              <w:t>综合</w:t>
            </w:r>
            <w:r>
              <w:rPr>
                <w:rFonts w:hint="eastAsia" w:ascii="Times New Roman" w:hAnsi="Times New Roman" w:eastAsia="仿宋" w:cs="Times New Roman"/>
                <w:sz w:val="24"/>
              </w:rPr>
              <w:t>地形/植被</w:t>
            </w:r>
            <w:r>
              <w:rPr>
                <w:rFonts w:ascii="Times New Roman" w:hAnsi="Times New Roman" w:eastAsia="仿宋" w:cs="Times New Roman"/>
                <w:sz w:val="24"/>
              </w:rPr>
              <w:t>等多维特征</w:t>
            </w:r>
            <w:r>
              <w:rPr>
                <w:rFonts w:hint="eastAsia" w:ascii="Times New Roman" w:hAnsi="Times New Roman" w:eastAsia="仿宋" w:cs="Times New Roman"/>
                <w:sz w:val="24"/>
              </w:rPr>
              <w:t>对洞庭湖区</w:t>
            </w:r>
            <w:r>
              <w:rPr>
                <w:rFonts w:ascii="Times New Roman" w:hAnsi="Times New Roman" w:eastAsia="仿宋" w:cs="Times New Roman"/>
                <w:sz w:val="24"/>
              </w:rPr>
              <w:t>湿地覆被智能解译，</w:t>
            </w:r>
            <w:r>
              <w:rPr>
                <w:rFonts w:hint="eastAsia" w:ascii="Times New Roman" w:hAnsi="Times New Roman" w:eastAsia="仿宋" w:cs="Times New Roman"/>
                <w:sz w:val="24"/>
              </w:rPr>
              <w:t>将</w:t>
            </w:r>
            <w:r>
              <w:rPr>
                <w:rFonts w:ascii="Times New Roman" w:hAnsi="Times New Roman" w:eastAsia="仿宋" w:cs="Times New Roman"/>
                <w:sz w:val="24"/>
              </w:rPr>
              <w:t>分类精度</w:t>
            </w:r>
            <w:r>
              <w:rPr>
                <w:rFonts w:hint="eastAsia" w:ascii="Times New Roman" w:hAnsi="Times New Roman" w:eastAsia="仿宋" w:cs="Times New Roman"/>
                <w:sz w:val="24"/>
              </w:rPr>
              <w:t>提高到</w:t>
            </w:r>
            <w:r>
              <w:rPr>
                <w:rFonts w:ascii="Times New Roman" w:hAnsi="Times New Roman" w:eastAsia="仿宋" w:cs="Times New Roman"/>
                <w:sz w:val="24"/>
              </w:rPr>
              <w:t>90%以上</w:t>
            </w:r>
            <w:r>
              <w:rPr>
                <w:rFonts w:hint="eastAsia" w:ascii="Times New Roman" w:hAnsi="Times New Roman" w:eastAsia="仿宋" w:cs="Times New Roman"/>
                <w:sz w:val="24"/>
              </w:rPr>
              <w:t>，同时，</w:t>
            </w:r>
            <w:r>
              <w:rPr>
                <w:rFonts w:ascii="Times New Roman" w:hAnsi="Times New Roman" w:eastAsia="仿宋" w:cs="Times New Roman"/>
                <w:sz w:val="24"/>
              </w:rPr>
              <w:t>以</w:t>
            </w:r>
            <w:r>
              <w:rPr>
                <w:rFonts w:hint="eastAsia" w:ascii="Times New Roman" w:hAnsi="Times New Roman" w:eastAsia="仿宋" w:cs="Times New Roman"/>
                <w:sz w:val="24"/>
                <w:lang w:eastAsia="zh-CN"/>
              </w:rPr>
              <w:t>“</w:t>
            </w:r>
            <w:r>
              <w:rPr>
                <w:rFonts w:ascii="Times New Roman" w:hAnsi="Times New Roman" w:eastAsia="仿宋" w:cs="Times New Roman"/>
                <w:sz w:val="24"/>
              </w:rPr>
              <w:t>格局</w:t>
            </w:r>
            <w:r>
              <w:rPr>
                <w:rFonts w:hint="eastAsia" w:ascii="Times New Roman" w:hAnsi="Times New Roman" w:eastAsia="仿宋" w:cs="Times New Roman"/>
                <w:sz w:val="24"/>
              </w:rPr>
              <w:t>-</w:t>
            </w:r>
            <w:r>
              <w:rPr>
                <w:rFonts w:ascii="Times New Roman" w:hAnsi="Times New Roman" w:eastAsia="仿宋" w:cs="Times New Roman"/>
                <w:sz w:val="24"/>
              </w:rPr>
              <w:t>过程</w:t>
            </w:r>
            <w:r>
              <w:rPr>
                <w:rFonts w:hint="eastAsia" w:ascii="Times New Roman" w:hAnsi="Times New Roman" w:eastAsia="仿宋" w:cs="Times New Roman"/>
                <w:sz w:val="24"/>
              </w:rPr>
              <w:t>-</w:t>
            </w:r>
            <w:r>
              <w:rPr>
                <w:rFonts w:ascii="Times New Roman" w:hAnsi="Times New Roman" w:eastAsia="仿宋" w:cs="Times New Roman"/>
                <w:sz w:val="24"/>
              </w:rPr>
              <w:t>功能</w:t>
            </w:r>
            <w:r>
              <w:rPr>
                <w:rFonts w:hint="eastAsia" w:ascii="Times New Roman" w:hAnsi="Times New Roman" w:eastAsia="仿宋" w:cs="Times New Roman"/>
                <w:sz w:val="24"/>
                <w:lang w:eastAsia="zh-CN"/>
              </w:rPr>
              <w:t>”</w:t>
            </w:r>
            <w:r>
              <w:rPr>
                <w:rFonts w:ascii="Times New Roman" w:hAnsi="Times New Roman" w:eastAsia="仿宋" w:cs="Times New Roman"/>
                <w:sz w:val="24"/>
              </w:rPr>
              <w:t>耦合为核心，</w:t>
            </w:r>
            <w:r>
              <w:rPr>
                <w:rFonts w:hint="eastAsia" w:ascii="Times New Roman" w:hAnsi="Times New Roman" w:eastAsia="仿宋" w:cs="Times New Roman"/>
                <w:sz w:val="24"/>
              </w:rPr>
              <w:t>结合</w:t>
            </w:r>
            <w:r>
              <w:rPr>
                <w:rFonts w:ascii="Times New Roman" w:hAnsi="Times New Roman" w:eastAsia="仿宋" w:cs="Times New Roman"/>
                <w:sz w:val="24"/>
              </w:rPr>
              <w:t>GEE云平台</w:t>
            </w:r>
            <w:r>
              <w:rPr>
                <w:rFonts w:hint="eastAsia" w:ascii="Times New Roman" w:hAnsi="Times New Roman" w:eastAsia="仿宋" w:cs="Times New Roman"/>
                <w:sz w:val="24"/>
              </w:rPr>
              <w:t>，实现近40</w:t>
            </w:r>
            <w:r>
              <w:rPr>
                <w:rFonts w:ascii="Times New Roman" w:hAnsi="Times New Roman" w:eastAsia="仿宋" w:cs="Times New Roman"/>
                <w:sz w:val="24"/>
              </w:rPr>
              <w:t>年长时序遥感</w:t>
            </w:r>
            <w:r>
              <w:rPr>
                <w:rFonts w:hint="eastAsia" w:ascii="Times New Roman" w:hAnsi="Times New Roman" w:eastAsia="仿宋" w:cs="Times New Roman"/>
                <w:sz w:val="24"/>
              </w:rPr>
              <w:t>的动态识别与</w:t>
            </w:r>
            <w:r>
              <w:rPr>
                <w:rFonts w:ascii="Times New Roman" w:hAnsi="Times New Roman" w:eastAsia="仿宋" w:cs="Times New Roman"/>
                <w:sz w:val="24"/>
              </w:rPr>
              <w:t>批量化景观</w:t>
            </w:r>
            <w:r>
              <w:rPr>
                <w:rFonts w:hint="eastAsia" w:ascii="Times New Roman" w:hAnsi="Times New Roman" w:eastAsia="仿宋" w:cs="Times New Roman"/>
                <w:sz w:val="24"/>
              </w:rPr>
              <w:t>分形与功能</w:t>
            </w:r>
            <w:r>
              <w:rPr>
                <w:rFonts w:ascii="Times New Roman" w:hAnsi="Times New Roman" w:eastAsia="仿宋" w:cs="Times New Roman"/>
                <w:sz w:val="24"/>
              </w:rPr>
              <w:t>指数</w:t>
            </w:r>
            <w:r>
              <w:rPr>
                <w:rFonts w:hint="eastAsia" w:ascii="Times New Roman" w:hAnsi="Times New Roman" w:eastAsia="仿宋" w:cs="Times New Roman"/>
                <w:sz w:val="24"/>
              </w:rPr>
              <w:t>提取，</w:t>
            </w:r>
            <w:r>
              <w:rPr>
                <w:rFonts w:ascii="Times New Roman" w:hAnsi="Times New Roman" w:eastAsia="仿宋" w:cs="Times New Roman"/>
                <w:sz w:val="24"/>
              </w:rPr>
              <w:t>定量评估生态退杨、退耕还湿等工程实施前后的功能</w:t>
            </w:r>
            <w:r>
              <w:rPr>
                <w:rFonts w:hint="eastAsia" w:ascii="Times New Roman" w:hAnsi="Times New Roman" w:eastAsia="仿宋" w:cs="Times New Roman"/>
                <w:sz w:val="24"/>
              </w:rPr>
              <w:t>变化，定量揭示了</w:t>
            </w:r>
            <w:r>
              <w:rPr>
                <w:rFonts w:ascii="Times New Roman" w:hAnsi="Times New Roman" w:eastAsia="仿宋" w:cs="Times New Roman"/>
                <w:sz w:val="24"/>
              </w:rPr>
              <w:t>洞庭湖湿地产水功能提升12.39%，碳汇功能提</w:t>
            </w:r>
            <w:r>
              <w:rPr>
                <w:rFonts w:ascii="仿宋" w:hAnsi="仿宋" w:eastAsia="仿宋" w:cs="仿宋"/>
                <w:sz w:val="24"/>
              </w:rPr>
              <w:t>升10%，破碎化降低、连通性增强</w:t>
            </w:r>
            <w:r>
              <w:rPr>
                <w:rFonts w:hint="eastAsia" w:ascii="仿宋" w:hAnsi="仿宋" w:eastAsia="仿宋" w:cs="仿宋"/>
                <w:sz w:val="24"/>
              </w:rPr>
              <w:t>的生态修复成效</w:t>
            </w:r>
            <w:r>
              <w:rPr>
                <w:rFonts w:ascii="仿宋" w:hAnsi="仿宋" w:eastAsia="仿宋" w:cs="仿宋"/>
                <w:sz w:val="24"/>
              </w:rPr>
              <w:t>。</w:t>
            </w:r>
            <w:r>
              <w:rPr>
                <w:rFonts w:hint="eastAsia" w:ascii="仿宋" w:hAnsi="仿宋" w:eastAsia="仿宋" w:cs="仿宋"/>
                <w:sz w:val="24"/>
              </w:rPr>
              <w:t>研究创新</w:t>
            </w:r>
            <w:r>
              <w:rPr>
                <w:rFonts w:ascii="Times New Roman" w:hAnsi="Times New Roman" w:eastAsia="仿宋" w:cs="Times New Roman"/>
                <w:sz w:val="24"/>
              </w:rPr>
              <w:t>构建</w:t>
            </w:r>
            <w:r>
              <w:rPr>
                <w:rFonts w:hint="eastAsia" w:ascii="Times New Roman" w:hAnsi="Times New Roman" w:eastAsia="仿宋" w:cs="Times New Roman"/>
                <w:sz w:val="24"/>
              </w:rPr>
              <w:t>了以</w:t>
            </w:r>
            <w:r>
              <w:rPr>
                <w:rFonts w:hint="eastAsia" w:ascii="Times New Roman" w:hAnsi="Times New Roman" w:eastAsia="仿宋" w:cs="Times New Roman"/>
                <w:sz w:val="24"/>
                <w:lang w:eastAsia="zh-CN"/>
              </w:rPr>
              <w:t>“</w:t>
            </w:r>
            <w:r>
              <w:rPr>
                <w:rFonts w:ascii="Times New Roman" w:hAnsi="Times New Roman" w:eastAsia="仿宋" w:cs="Times New Roman"/>
                <w:sz w:val="24"/>
              </w:rPr>
              <w:t>MAM</w:t>
            </w:r>
            <w:r>
              <w:rPr>
                <w:rFonts w:hint="eastAsia" w:ascii="Times New Roman" w:hAnsi="Times New Roman" w:eastAsia="仿宋" w:cs="Times New Roman"/>
                <w:sz w:val="24"/>
              </w:rPr>
              <w:t>-</w:t>
            </w:r>
            <w:r>
              <w:rPr>
                <w:rFonts w:ascii="Times New Roman" w:hAnsi="Times New Roman" w:eastAsia="仿宋" w:cs="Times New Roman"/>
                <w:sz w:val="24"/>
              </w:rPr>
              <w:t>SEDM</w:t>
            </w:r>
            <w:r>
              <w:rPr>
                <w:rFonts w:hint="eastAsia" w:ascii="Times New Roman" w:hAnsi="Times New Roman" w:eastAsia="仿宋" w:cs="Times New Roman"/>
                <w:sz w:val="24"/>
              </w:rPr>
              <w:t>-</w:t>
            </w:r>
            <w:r>
              <w:rPr>
                <w:rFonts w:ascii="Times New Roman" w:hAnsi="Times New Roman" w:eastAsia="仿宋" w:cs="Times New Roman"/>
                <w:sz w:val="24"/>
              </w:rPr>
              <w:t>XGBoost</w:t>
            </w:r>
            <w:r>
              <w:rPr>
                <w:rFonts w:hint="eastAsia" w:ascii="Times New Roman" w:hAnsi="Times New Roman" w:eastAsia="仿宋" w:cs="Times New Roman"/>
                <w:sz w:val="24"/>
              </w:rPr>
              <w:t>-</w:t>
            </w:r>
            <w:r>
              <w:rPr>
                <w:rFonts w:ascii="Times New Roman" w:hAnsi="Times New Roman" w:eastAsia="仿宋" w:cs="Times New Roman"/>
                <w:sz w:val="24"/>
              </w:rPr>
              <w:t>SHAP</w:t>
            </w:r>
            <w:r>
              <w:rPr>
                <w:rFonts w:hint="eastAsia" w:ascii="Times New Roman" w:hAnsi="Times New Roman" w:eastAsia="仿宋" w:cs="Times New Roman"/>
                <w:sz w:val="24"/>
              </w:rPr>
              <w:t>机器学习</w:t>
            </w:r>
            <w:r>
              <w:rPr>
                <w:rFonts w:hint="eastAsia" w:ascii="Times New Roman" w:hAnsi="Times New Roman" w:eastAsia="仿宋" w:cs="Times New Roman"/>
                <w:sz w:val="24"/>
                <w:lang w:eastAsia="zh-CN"/>
              </w:rPr>
              <w:t>”</w:t>
            </w:r>
            <w:r>
              <w:rPr>
                <w:rFonts w:hint="eastAsia" w:ascii="Times New Roman" w:hAnsi="Times New Roman" w:eastAsia="仿宋" w:cs="Times New Roman"/>
                <w:sz w:val="24"/>
              </w:rPr>
              <w:t>集成的</w:t>
            </w:r>
            <w:r>
              <w:rPr>
                <w:rFonts w:ascii="Times New Roman" w:hAnsi="Times New Roman" w:eastAsia="仿宋" w:cs="Times New Roman"/>
                <w:sz w:val="24"/>
              </w:rPr>
              <w:t>一体化技术链，</w:t>
            </w:r>
            <w:r>
              <w:rPr>
                <w:rFonts w:hint="eastAsia" w:ascii="Times New Roman" w:hAnsi="Times New Roman" w:eastAsia="仿宋" w:cs="Times New Roman"/>
                <w:sz w:val="24"/>
              </w:rPr>
              <w:t>精细</w:t>
            </w:r>
            <w:r>
              <w:rPr>
                <w:rFonts w:ascii="Times New Roman" w:hAnsi="Times New Roman" w:eastAsia="仿宋" w:cs="Times New Roman"/>
                <w:sz w:val="24"/>
              </w:rPr>
              <w:t>量化</w:t>
            </w:r>
            <w:r>
              <w:rPr>
                <w:rFonts w:hint="eastAsia" w:ascii="Times New Roman" w:hAnsi="Times New Roman" w:eastAsia="仿宋" w:cs="Times New Roman"/>
                <w:sz w:val="24"/>
              </w:rPr>
              <w:t>了</w:t>
            </w:r>
            <w:r>
              <w:rPr>
                <w:rFonts w:ascii="Times New Roman" w:hAnsi="Times New Roman" w:eastAsia="仿宋" w:cs="Times New Roman"/>
                <w:sz w:val="24"/>
              </w:rPr>
              <w:t>气候</w:t>
            </w:r>
            <w:r>
              <w:rPr>
                <w:rFonts w:hint="eastAsia" w:ascii="Times New Roman" w:hAnsi="Times New Roman" w:eastAsia="仿宋" w:cs="Times New Roman"/>
                <w:sz w:val="24"/>
              </w:rPr>
              <w:t>/人为</w:t>
            </w:r>
            <w:r>
              <w:rPr>
                <w:rFonts w:ascii="Times New Roman" w:hAnsi="Times New Roman" w:eastAsia="仿宋" w:cs="Times New Roman"/>
                <w:sz w:val="24"/>
              </w:rPr>
              <w:t>驱动</w:t>
            </w:r>
            <w:r>
              <w:rPr>
                <w:rFonts w:hint="eastAsia" w:ascii="Times New Roman" w:hAnsi="Times New Roman" w:eastAsia="仿宋" w:cs="Times New Roman"/>
                <w:sz w:val="24"/>
              </w:rPr>
              <w:t>湿地生态功能进退化的贡献</w:t>
            </w:r>
            <w:r>
              <w:rPr>
                <w:rFonts w:ascii="Times New Roman" w:hAnsi="Times New Roman" w:eastAsia="仿宋" w:cs="Times New Roman"/>
                <w:sz w:val="24"/>
              </w:rPr>
              <w:t>，精准识别</w:t>
            </w:r>
            <w:r>
              <w:rPr>
                <w:rFonts w:hint="eastAsia" w:ascii="Times New Roman" w:hAnsi="Times New Roman" w:eastAsia="仿宋" w:cs="Times New Roman"/>
                <w:sz w:val="24"/>
              </w:rPr>
              <w:t>湖区湿地的</w:t>
            </w:r>
            <w:r>
              <w:rPr>
                <w:rFonts w:ascii="Times New Roman" w:hAnsi="Times New Roman" w:eastAsia="仿宋" w:cs="Times New Roman"/>
                <w:sz w:val="24"/>
              </w:rPr>
              <w:t>恢复力阈值</w:t>
            </w:r>
            <w:r>
              <w:rPr>
                <w:rFonts w:hint="eastAsia" w:ascii="Times New Roman" w:hAnsi="Times New Roman" w:eastAsia="仿宋" w:cs="Times New Roman"/>
                <w:sz w:val="24"/>
              </w:rPr>
              <w:t>区间，通过</w:t>
            </w:r>
            <w:r>
              <w:rPr>
                <w:rFonts w:ascii="Times New Roman" w:hAnsi="Times New Roman" w:eastAsia="仿宋" w:cs="Times New Roman"/>
                <w:sz w:val="24"/>
              </w:rPr>
              <w:t>耦合</w:t>
            </w:r>
            <w:r>
              <w:rPr>
                <w:rFonts w:hint="eastAsia" w:ascii="Times New Roman" w:hAnsi="Times New Roman" w:eastAsia="仿宋" w:cs="Times New Roman"/>
                <w:sz w:val="24"/>
              </w:rPr>
              <w:t>神经网络</w:t>
            </w:r>
            <w:r>
              <w:rPr>
                <w:rFonts w:ascii="Times New Roman" w:hAnsi="Times New Roman" w:eastAsia="仿宋" w:cs="Times New Roman"/>
                <w:sz w:val="24"/>
              </w:rPr>
              <w:t>、</w:t>
            </w:r>
            <w:r>
              <w:rPr>
                <w:rFonts w:hint="eastAsia" w:ascii="Times New Roman" w:hAnsi="Times New Roman" w:eastAsia="仿宋" w:cs="Times New Roman"/>
                <w:sz w:val="24"/>
              </w:rPr>
              <w:t>元胞模型</w:t>
            </w:r>
            <w:r>
              <w:rPr>
                <w:rFonts w:ascii="Times New Roman" w:hAnsi="Times New Roman" w:eastAsia="仿宋" w:cs="Times New Roman"/>
                <w:sz w:val="24"/>
              </w:rPr>
              <w:t>与InVEST</w:t>
            </w:r>
            <w:r>
              <w:rPr>
                <w:rFonts w:hint="eastAsia" w:ascii="Times New Roman" w:hAnsi="Times New Roman" w:eastAsia="仿宋" w:cs="Times New Roman"/>
                <w:sz w:val="24"/>
              </w:rPr>
              <w:t>生态</w:t>
            </w:r>
            <w:r>
              <w:rPr>
                <w:rFonts w:ascii="Times New Roman" w:hAnsi="Times New Roman" w:eastAsia="仿宋" w:cs="Times New Roman"/>
                <w:sz w:val="24"/>
              </w:rPr>
              <w:t>模型，</w:t>
            </w:r>
            <w:r>
              <w:rPr>
                <w:rFonts w:hint="eastAsia" w:ascii="Times New Roman" w:hAnsi="Times New Roman" w:eastAsia="仿宋" w:cs="Times New Roman"/>
                <w:sz w:val="24"/>
              </w:rPr>
              <w:t>精准</w:t>
            </w:r>
            <w:r>
              <w:rPr>
                <w:rFonts w:ascii="Times New Roman" w:hAnsi="Times New Roman" w:eastAsia="仿宋" w:cs="Times New Roman"/>
                <w:sz w:val="24"/>
              </w:rPr>
              <w:t>模拟</w:t>
            </w:r>
            <w:r>
              <w:rPr>
                <w:rFonts w:hint="eastAsia" w:ascii="Times New Roman" w:hAnsi="Times New Roman" w:eastAsia="仿宋" w:cs="Times New Roman"/>
                <w:sz w:val="24"/>
              </w:rPr>
              <w:t>了</w:t>
            </w:r>
            <w:r>
              <w:rPr>
                <w:rFonts w:ascii="Times New Roman" w:hAnsi="Times New Roman" w:eastAsia="仿宋" w:cs="Times New Roman"/>
                <w:sz w:val="24"/>
              </w:rPr>
              <w:t>自然增长、生态保护、碳中和</w:t>
            </w:r>
            <w:r>
              <w:rPr>
                <w:rFonts w:hint="eastAsia" w:ascii="Times New Roman" w:hAnsi="Times New Roman" w:eastAsia="仿宋" w:cs="Times New Roman"/>
                <w:sz w:val="24"/>
              </w:rPr>
              <w:t>等多</w:t>
            </w:r>
            <w:r>
              <w:rPr>
                <w:rFonts w:ascii="Times New Roman" w:hAnsi="Times New Roman" w:eastAsia="仿宋" w:cs="Times New Roman"/>
                <w:sz w:val="24"/>
              </w:rPr>
              <w:t>情景下</w:t>
            </w:r>
            <w:r>
              <w:rPr>
                <w:rFonts w:hint="eastAsia" w:ascii="Times New Roman" w:hAnsi="Times New Roman" w:eastAsia="仿宋" w:cs="Times New Roman"/>
                <w:sz w:val="24"/>
              </w:rPr>
              <w:t>湖区</w:t>
            </w:r>
            <w:r>
              <w:rPr>
                <w:rFonts w:ascii="Times New Roman" w:hAnsi="Times New Roman" w:eastAsia="仿宋" w:cs="Times New Roman"/>
                <w:sz w:val="24"/>
              </w:rPr>
              <w:t>水源涵养</w:t>
            </w:r>
            <w:r>
              <w:rPr>
                <w:rFonts w:hint="eastAsia" w:ascii="Times New Roman" w:hAnsi="Times New Roman" w:eastAsia="仿宋" w:cs="Times New Roman"/>
                <w:sz w:val="24"/>
              </w:rPr>
              <w:t>、</w:t>
            </w:r>
            <w:r>
              <w:rPr>
                <w:rFonts w:ascii="Times New Roman" w:hAnsi="Times New Roman" w:eastAsia="仿宋" w:cs="Times New Roman"/>
                <w:sz w:val="24"/>
              </w:rPr>
              <w:t>碳储存</w:t>
            </w:r>
            <w:r>
              <w:rPr>
                <w:rFonts w:hint="eastAsia" w:ascii="Times New Roman" w:hAnsi="Times New Roman" w:eastAsia="仿宋" w:cs="Times New Roman"/>
                <w:sz w:val="24"/>
              </w:rPr>
              <w:t>、生境质量、水土维持</w:t>
            </w:r>
            <w:r>
              <w:rPr>
                <w:rFonts w:ascii="Times New Roman" w:hAnsi="Times New Roman" w:eastAsia="仿宋" w:cs="Times New Roman"/>
                <w:sz w:val="24"/>
              </w:rPr>
              <w:t>功能</w:t>
            </w:r>
            <w:r>
              <w:rPr>
                <w:rFonts w:hint="eastAsia" w:ascii="Times New Roman" w:hAnsi="Times New Roman" w:eastAsia="仿宋" w:cs="Times New Roman"/>
                <w:sz w:val="24"/>
              </w:rPr>
              <w:t>，为</w:t>
            </w:r>
            <w:r>
              <w:rPr>
                <w:rFonts w:ascii="Times New Roman" w:hAnsi="Times New Roman" w:eastAsia="仿宋" w:cs="Times New Roman"/>
                <w:sz w:val="24"/>
              </w:rPr>
              <w:t>权衡</w:t>
            </w:r>
            <w:r>
              <w:rPr>
                <w:rFonts w:hint="eastAsia" w:ascii="Times New Roman" w:hAnsi="Times New Roman" w:eastAsia="仿宋" w:cs="Times New Roman"/>
                <w:sz w:val="24"/>
              </w:rPr>
              <w:t>洞庭湖湿地生态保护修复提供了有力技术支撑。该</w:t>
            </w:r>
            <w:r>
              <w:rPr>
                <w:rFonts w:ascii="仿宋" w:hAnsi="仿宋" w:eastAsia="仿宋" w:cs="仿宋"/>
                <w:sz w:val="24"/>
              </w:rPr>
              <w:t>成果获授权发明专利</w:t>
            </w:r>
            <w:r>
              <w:rPr>
                <w:rFonts w:hint="eastAsia" w:ascii="仿宋" w:hAnsi="仿宋" w:eastAsia="仿宋" w:cs="仿宋"/>
                <w:sz w:val="24"/>
              </w:rPr>
              <w:t>3</w:t>
            </w:r>
            <w:r>
              <w:rPr>
                <w:rFonts w:ascii="仿宋" w:hAnsi="仿宋" w:eastAsia="仿宋" w:cs="仿宋"/>
                <w:sz w:val="24"/>
              </w:rPr>
              <w:t>项，</w:t>
            </w:r>
            <w:r>
              <w:rPr>
                <w:rFonts w:hint="eastAsia" w:ascii="仿宋" w:hAnsi="仿宋" w:eastAsia="仿宋" w:cs="仿宋"/>
                <w:sz w:val="24"/>
              </w:rPr>
              <w:t>软件著作权2项，</w:t>
            </w:r>
            <w:r>
              <w:rPr>
                <w:rFonts w:ascii="Times New Roman" w:hAnsi="Times New Roman" w:eastAsia="仿宋" w:cs="Times New Roman"/>
                <w:sz w:val="24"/>
              </w:rPr>
              <w:t>在《Land Use Policy》《Journal of Environmental Management》《Ecological Indicators》等</w:t>
            </w:r>
            <w:r>
              <w:rPr>
                <w:rFonts w:hint="eastAsia" w:ascii="Times New Roman" w:hAnsi="Times New Roman" w:eastAsia="仿宋" w:cs="Times New Roman"/>
                <w:sz w:val="24"/>
              </w:rPr>
              <w:t>SCI</w:t>
            </w:r>
            <w:r>
              <w:rPr>
                <w:rFonts w:ascii="Times New Roman" w:hAnsi="Times New Roman" w:eastAsia="仿宋" w:cs="Times New Roman"/>
                <w:sz w:val="24"/>
              </w:rPr>
              <w:t>一区</w:t>
            </w:r>
            <w:r>
              <w:rPr>
                <w:rFonts w:hint="eastAsia" w:ascii="Times New Roman" w:hAnsi="Times New Roman" w:eastAsia="仿宋" w:cs="Times New Roman"/>
                <w:sz w:val="24"/>
              </w:rPr>
              <w:t>等</w:t>
            </w:r>
            <w:r>
              <w:rPr>
                <w:rFonts w:ascii="Times New Roman" w:hAnsi="Times New Roman" w:eastAsia="仿宋" w:cs="Times New Roman"/>
                <w:sz w:val="24"/>
              </w:rPr>
              <w:t>期刊发表论</w:t>
            </w:r>
            <w:r>
              <w:rPr>
                <w:rFonts w:ascii="仿宋" w:hAnsi="仿宋" w:eastAsia="仿宋" w:cs="仿宋"/>
                <w:sz w:val="24"/>
              </w:rPr>
              <w:t>文</w:t>
            </w:r>
            <w:r>
              <w:rPr>
                <w:rFonts w:hint="eastAsia" w:ascii="仿宋" w:hAnsi="仿宋" w:eastAsia="仿宋" w:cs="仿宋"/>
                <w:sz w:val="24"/>
              </w:rPr>
              <w:t>13</w:t>
            </w:r>
            <w:r>
              <w:rPr>
                <w:rFonts w:ascii="仿宋" w:hAnsi="仿宋" w:eastAsia="仿宋" w:cs="仿宋"/>
                <w:sz w:val="24"/>
              </w:rPr>
              <w:t>篇，</w:t>
            </w:r>
            <w:r>
              <w:rPr>
                <w:rFonts w:hint="eastAsia" w:ascii="仿宋" w:hAnsi="仿宋" w:eastAsia="仿宋" w:cs="仿宋"/>
                <w:sz w:val="24"/>
              </w:rPr>
              <w:t>出版专著1部，</w:t>
            </w:r>
            <w:r>
              <w:rPr>
                <w:rFonts w:ascii="仿宋" w:hAnsi="仿宋" w:eastAsia="仿宋" w:cs="仿宋"/>
                <w:sz w:val="24"/>
              </w:rPr>
              <w:t>获省级奖励</w:t>
            </w:r>
            <w:r>
              <w:rPr>
                <w:rFonts w:hint="eastAsia" w:ascii="仿宋" w:hAnsi="仿宋" w:eastAsia="仿宋" w:cs="仿宋"/>
                <w:sz w:val="24"/>
              </w:rPr>
              <w:t>4</w:t>
            </w:r>
            <w:r>
              <w:rPr>
                <w:rFonts w:ascii="仿宋" w:hAnsi="仿宋" w:eastAsia="仿宋" w:cs="仿宋"/>
                <w:sz w:val="24"/>
              </w:rPr>
              <w:t>项。</w:t>
            </w:r>
          </w:p>
        </w:tc>
        <w:tc>
          <w:tcPr>
            <w:tcW w:w="1800" w:type="dxa"/>
            <w:vAlign w:val="center"/>
          </w:tcPr>
          <w:p w14:paraId="24D76758">
            <w:pPr>
              <w:keepNext w:val="0"/>
              <w:keepLines w:val="0"/>
              <w:pageBreakBefore w:val="0"/>
              <w:widowControl/>
              <w:kinsoku/>
              <w:wordWrap/>
              <w:overflowPunct/>
              <w:topLinePunct w:val="0"/>
              <w:autoSpaceDE/>
              <w:autoSpaceDN/>
              <w:bidi w:val="0"/>
              <w:adjustRightInd/>
              <w:snapToGrid/>
              <w:jc w:val="left"/>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生态系统监测（含遥感动态监测、地面定位监测、生物指标监测及空天地一体化监测设备研发与方法运用等）</w:t>
            </w:r>
          </w:p>
        </w:tc>
        <w:tc>
          <w:tcPr>
            <w:tcW w:w="1485" w:type="dxa"/>
            <w:vAlign w:val="center"/>
          </w:tcPr>
          <w:p w14:paraId="08D4224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ascii="仿宋" w:hAnsi="仿宋" w:eastAsia="仿宋" w:cs="仿宋"/>
                <w:sz w:val="24"/>
              </w:rPr>
              <w:t>中南林业科技大学</w:t>
            </w:r>
            <w:r>
              <w:rPr>
                <w:rFonts w:hint="eastAsia" w:ascii="仿宋" w:hAnsi="仿宋" w:eastAsia="仿宋" w:cs="仿宋"/>
                <w:sz w:val="24"/>
              </w:rPr>
              <w:t>园林与建筑学院</w:t>
            </w:r>
          </w:p>
        </w:tc>
        <w:tc>
          <w:tcPr>
            <w:tcW w:w="1497" w:type="dxa"/>
            <w:vAlign w:val="center"/>
          </w:tcPr>
          <w:p w14:paraId="628AC564">
            <w:pPr>
              <w:keepNext w:val="0"/>
              <w:keepLines w:val="0"/>
              <w:pageBreakBefore w:val="0"/>
              <w:widowControl/>
              <w:kinsoku/>
              <w:wordWrap/>
              <w:overflowPunct/>
              <w:topLinePunct w:val="0"/>
              <w:autoSpaceDE/>
              <w:autoSpaceDN/>
              <w:bidi w:val="0"/>
              <w:adjustRightInd/>
              <w:snapToGrid/>
              <w:jc w:val="left"/>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中南林业科技大学</w:t>
            </w:r>
          </w:p>
        </w:tc>
      </w:tr>
      <w:tr w14:paraId="58D72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dxa"/>
            <w:vAlign w:val="center"/>
          </w:tcPr>
          <w:p w14:paraId="529D647A">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7</w:t>
            </w:r>
          </w:p>
        </w:tc>
        <w:tc>
          <w:tcPr>
            <w:tcW w:w="1946" w:type="dxa"/>
            <w:vAlign w:val="center"/>
          </w:tcPr>
          <w:p w14:paraId="19E77E7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仿宋" w:cs="Times New Roman"/>
                <w:sz w:val="24"/>
                <w:szCs w:val="24"/>
                <w:vertAlign w:val="baseline"/>
              </w:rPr>
            </w:pPr>
            <w:r>
              <w:rPr>
                <w:rFonts w:hint="eastAsia" w:ascii="仿宋" w:hAnsi="仿宋" w:eastAsia="仿宋" w:cs="仿宋"/>
                <w:sz w:val="24"/>
                <w:szCs w:val="24"/>
                <w:vertAlign w:val="baseline"/>
                <w:lang w:val="en-US" w:eastAsia="zh-CN"/>
              </w:rPr>
              <w:t>城乡水系“控污-生境-护岸”一体化连通修复成套技术</w:t>
            </w:r>
          </w:p>
        </w:tc>
        <w:tc>
          <w:tcPr>
            <w:tcW w:w="6780" w:type="dxa"/>
            <w:vAlign w:val="center"/>
          </w:tcPr>
          <w:p w14:paraId="0811AB10">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vertAlign w:val="baseline"/>
              </w:rPr>
            </w:pPr>
            <w:r>
              <w:rPr>
                <w:rFonts w:hint="eastAsia" w:ascii="Times New Roman" w:hAnsi="Times New Roman" w:eastAsia="仿宋" w:cs="Times New Roman"/>
                <w:sz w:val="24"/>
                <w:lang w:val="en-US" w:eastAsia="zh-CN"/>
              </w:rPr>
              <w:t>该</w:t>
            </w:r>
            <w:r>
              <w:rPr>
                <w:rFonts w:hint="eastAsia" w:ascii="Times New Roman" w:hAnsi="Times New Roman" w:eastAsia="仿宋" w:cs="Times New Roman"/>
                <w:sz w:val="24"/>
              </w:rPr>
              <w:t>成果适配城乡水系的水污染治理、生境修复、环境流调控、水景观营建四位一体河湖生态修复集成成套技术，针对传统水系治理碎片化、水质易反弹、硬质岸生态缺失、农村沟渠运维成本高等行业痛点，研发形成多级水跃清淤沟渠、免开挖生态护岸、硬质岸生态改造、装配式渠道衬砌4项</w:t>
            </w:r>
            <w:r>
              <w:rPr>
                <w:rFonts w:hint="eastAsia" w:ascii="Times New Roman" w:hAnsi="Times New Roman" w:eastAsia="仿宋" w:cs="Times New Roman"/>
                <w:sz w:val="24"/>
                <w:lang w:val="en-US" w:eastAsia="zh-CN"/>
              </w:rPr>
              <w:t>发明</w:t>
            </w:r>
            <w:r>
              <w:rPr>
                <w:rFonts w:hint="eastAsia" w:ascii="Times New Roman" w:hAnsi="Times New Roman" w:eastAsia="仿宋" w:cs="Times New Roman"/>
                <w:sz w:val="24"/>
              </w:rPr>
              <w:t>专利</w:t>
            </w:r>
            <w:r>
              <w:rPr>
                <w:rFonts w:hint="eastAsia" w:ascii="Times New Roman" w:hAnsi="Times New Roman" w:eastAsia="仿宋" w:cs="Times New Roman"/>
                <w:sz w:val="24"/>
                <w:lang w:val="en-US" w:eastAsia="zh-CN"/>
              </w:rPr>
              <w:t>及实用型专利</w:t>
            </w:r>
            <w:r>
              <w:rPr>
                <w:rFonts w:hint="eastAsia" w:ascii="Times New Roman" w:hAnsi="Times New Roman" w:eastAsia="仿宋" w:cs="Times New Roman"/>
                <w:sz w:val="24"/>
              </w:rPr>
              <w:t>，构建差异化系统治理体系，分别适配城市内河、县域水网、水美乡村三类典型场景。技术集成下凹式绿地、多级跌水增氧、生态缓冲带实现源头面源管控；依托专利构件完成免开挖岸坡生态化改造，兼顾防洪稳定与生物栖息；通过闸站联合生态调度保障生态基流，同步打造亲水滨水空间。整套技术施工便捷、装配化程度高，综合造价降低15%</w:t>
            </w:r>
            <w:r>
              <w:rPr>
                <w:rFonts w:hint="default" w:ascii="Times New Roman" w:hAnsi="Times New Roman" w:eastAsia="仿宋" w:cs="Times New Roman"/>
                <w:sz w:val="24"/>
                <w:szCs w:val="24"/>
                <w:vertAlign w:val="baseline"/>
                <w:lang w:val="en-US" w:eastAsia="zh-CN"/>
              </w:rPr>
              <w:t>～</w:t>
            </w:r>
            <w:r>
              <w:rPr>
                <w:rFonts w:hint="eastAsia" w:ascii="Times New Roman" w:hAnsi="Times New Roman" w:eastAsia="仿宋" w:cs="Times New Roman"/>
                <w:sz w:val="24"/>
              </w:rPr>
              <w:t>25%，后期运维成本削减30%</w:t>
            </w:r>
            <w:r>
              <w:rPr>
                <w:rFonts w:hint="eastAsia" w:ascii="Times New Roman" w:hAnsi="Times New Roman" w:eastAsia="仿宋" w:cs="Times New Roman"/>
                <w:sz w:val="24"/>
                <w:lang w:eastAsia="zh-CN"/>
              </w:rPr>
              <w:t>，</w:t>
            </w:r>
            <w:r>
              <w:rPr>
                <w:rFonts w:hint="eastAsia" w:ascii="Times New Roman" w:hAnsi="Times New Roman" w:eastAsia="仿宋" w:cs="Times New Roman"/>
                <w:sz w:val="24"/>
              </w:rPr>
              <w:t>可实现水体稳定提升至Ⅳ类及以上。成果已在</w:t>
            </w:r>
            <w:r>
              <w:rPr>
                <w:rFonts w:hint="eastAsia" w:ascii="Times New Roman" w:hAnsi="Times New Roman" w:eastAsia="仿宋" w:cs="Times New Roman"/>
                <w:sz w:val="24"/>
                <w:lang w:val="en-US" w:eastAsia="zh-CN"/>
              </w:rPr>
              <w:t>多个</w:t>
            </w:r>
            <w:r>
              <w:rPr>
                <w:rFonts w:hint="eastAsia" w:ascii="Times New Roman" w:hAnsi="Times New Roman" w:eastAsia="仿宋" w:cs="Times New Roman"/>
                <w:sz w:val="24"/>
              </w:rPr>
              <w:t>试点</w:t>
            </w:r>
            <w:r>
              <w:rPr>
                <w:rFonts w:hint="eastAsia" w:ascii="Times New Roman" w:hAnsi="Times New Roman" w:eastAsia="仿宋" w:cs="Times New Roman"/>
                <w:sz w:val="24"/>
                <w:lang w:val="en-US" w:eastAsia="zh-CN"/>
              </w:rPr>
              <w:t>项目中验证</w:t>
            </w:r>
            <w:r>
              <w:rPr>
                <w:rFonts w:hint="eastAsia" w:ascii="Times New Roman" w:hAnsi="Times New Roman" w:eastAsia="仿宋" w:cs="Times New Roman"/>
                <w:sz w:val="24"/>
              </w:rPr>
              <w:t>，</w:t>
            </w:r>
            <w:r>
              <w:rPr>
                <w:rFonts w:hint="eastAsia" w:ascii="Times New Roman" w:hAnsi="Times New Roman" w:eastAsia="仿宋" w:cs="Times New Roman"/>
                <w:sz w:val="24"/>
                <w:lang w:val="en-US" w:eastAsia="zh-CN"/>
              </w:rPr>
              <w:t>其中娄底市娄星区水系连通工程被湖南省生态环境厅授予湖南省2021年度美丽河湖建设优秀案例，该技术成果</w:t>
            </w:r>
            <w:r>
              <w:rPr>
                <w:rFonts w:hint="eastAsia" w:ascii="Times New Roman" w:hAnsi="Times New Roman" w:eastAsia="仿宋" w:cs="Times New Roman"/>
                <w:sz w:val="24"/>
              </w:rPr>
              <w:t>可在</w:t>
            </w:r>
            <w:r>
              <w:rPr>
                <w:rFonts w:hint="eastAsia" w:ascii="Times New Roman" w:hAnsi="Times New Roman" w:eastAsia="仿宋" w:cs="Times New Roman"/>
                <w:sz w:val="24"/>
                <w:lang w:val="en-US" w:eastAsia="zh-CN"/>
              </w:rPr>
              <w:t>城乡水系</w:t>
            </w:r>
            <w:r>
              <w:rPr>
                <w:rFonts w:hint="eastAsia" w:ascii="Times New Roman" w:hAnsi="Times New Roman" w:eastAsia="仿宋" w:cs="Times New Roman"/>
                <w:sz w:val="24"/>
              </w:rPr>
              <w:t>治理项目</w:t>
            </w:r>
            <w:r>
              <w:rPr>
                <w:rFonts w:hint="eastAsia" w:ascii="Times New Roman" w:hAnsi="Times New Roman" w:eastAsia="仿宋" w:cs="Times New Roman"/>
                <w:sz w:val="24"/>
                <w:lang w:val="en-US" w:eastAsia="zh-CN"/>
              </w:rPr>
              <w:t>中</w:t>
            </w:r>
            <w:r>
              <w:rPr>
                <w:rFonts w:hint="eastAsia" w:ascii="Times New Roman" w:hAnsi="Times New Roman" w:eastAsia="仿宋" w:cs="Times New Roman"/>
                <w:sz w:val="24"/>
              </w:rPr>
              <w:t>复制推广。</w:t>
            </w:r>
          </w:p>
        </w:tc>
        <w:tc>
          <w:tcPr>
            <w:tcW w:w="1800" w:type="dxa"/>
            <w:vAlign w:val="center"/>
          </w:tcPr>
          <w:p w14:paraId="4348568D">
            <w:pPr>
              <w:keepNext w:val="0"/>
              <w:keepLines w:val="0"/>
              <w:pageBreakBefore w:val="0"/>
              <w:widowControl/>
              <w:kinsoku/>
              <w:wordWrap/>
              <w:overflowPunct/>
              <w:topLinePunct w:val="0"/>
              <w:autoSpaceDE/>
              <w:autoSpaceDN/>
              <w:bidi w:val="0"/>
              <w:adjustRightInd/>
              <w:snapToGrid/>
              <w:jc w:val="left"/>
              <w:rPr>
                <w:rFonts w:hint="eastAsia" w:ascii="仿宋" w:hAnsi="仿宋" w:eastAsia="仿宋" w:cs="仿宋"/>
                <w:sz w:val="24"/>
                <w:szCs w:val="24"/>
                <w:vertAlign w:val="baseline"/>
              </w:rPr>
            </w:pPr>
            <w:r>
              <w:rPr>
                <w:rFonts w:hint="eastAsia" w:ascii="仿宋" w:hAnsi="仿宋" w:eastAsia="仿宋" w:cs="仿宋"/>
                <w:sz w:val="24"/>
                <w:szCs w:val="24"/>
                <w:vertAlign w:val="baseline"/>
                <w:lang w:val="en-US" w:eastAsia="zh-CN"/>
              </w:rPr>
              <w:t>水（含河湖岸线）生态保护修复</w:t>
            </w:r>
          </w:p>
        </w:tc>
        <w:tc>
          <w:tcPr>
            <w:tcW w:w="1485" w:type="dxa"/>
            <w:vAlign w:val="center"/>
          </w:tcPr>
          <w:p w14:paraId="54ADB4B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湖南省水利水电勘测设计规划研究总院有限公司</w:t>
            </w:r>
          </w:p>
        </w:tc>
        <w:tc>
          <w:tcPr>
            <w:tcW w:w="1497" w:type="dxa"/>
            <w:vAlign w:val="center"/>
          </w:tcPr>
          <w:p w14:paraId="686F6364">
            <w:pPr>
              <w:keepNext w:val="0"/>
              <w:keepLines w:val="0"/>
              <w:pageBreakBefore w:val="0"/>
              <w:widowControl/>
              <w:kinsoku/>
              <w:wordWrap/>
              <w:overflowPunct/>
              <w:topLinePunct w:val="0"/>
              <w:autoSpaceDE/>
              <w:autoSpaceDN/>
              <w:bidi w:val="0"/>
              <w:adjustRightInd/>
              <w:snapToGrid/>
              <w:jc w:val="left"/>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湖南省水利厅</w:t>
            </w:r>
          </w:p>
        </w:tc>
      </w:tr>
      <w:tr w14:paraId="6746F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dxa"/>
            <w:vAlign w:val="center"/>
          </w:tcPr>
          <w:p w14:paraId="437D04BC">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8</w:t>
            </w:r>
          </w:p>
        </w:tc>
        <w:tc>
          <w:tcPr>
            <w:tcW w:w="1946" w:type="dxa"/>
            <w:vAlign w:val="center"/>
          </w:tcPr>
          <w:p w14:paraId="132F061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仿宋" w:cs="Times New Roman"/>
                <w:sz w:val="24"/>
                <w:szCs w:val="24"/>
                <w:vertAlign w:val="baseline"/>
              </w:rPr>
            </w:pPr>
            <w:r>
              <w:rPr>
                <w:rFonts w:hint="eastAsia" w:ascii="仿宋" w:hAnsi="仿宋" w:eastAsia="仿宋" w:cs="仿宋"/>
                <w:sz w:val="24"/>
                <w:szCs w:val="24"/>
                <w:vertAlign w:val="baseline"/>
                <w:lang w:val="en-US" w:eastAsia="zh-CN"/>
              </w:rPr>
              <w:t>锑铅矿区废弃地</w:t>
            </w:r>
            <w:bookmarkStart w:id="1" w:name="OLE_LINK53"/>
            <w:bookmarkStart w:id="2" w:name="OLE_LINK2"/>
            <w:bookmarkStart w:id="3" w:name="OLE_LINK37"/>
            <w:bookmarkStart w:id="4" w:name="OLE_LINK3"/>
            <w:r>
              <w:rPr>
                <w:rFonts w:hint="default" w:ascii="仿宋" w:hAnsi="仿宋" w:eastAsia="仿宋" w:cs="仿宋"/>
                <w:sz w:val="24"/>
                <w:szCs w:val="24"/>
                <w:vertAlign w:val="baseline"/>
                <w:lang w:val="en-US" w:eastAsia="zh-CN"/>
              </w:rPr>
              <w:t>植被</w:t>
            </w:r>
            <w:r>
              <w:rPr>
                <w:rFonts w:hint="eastAsia" w:ascii="仿宋" w:hAnsi="仿宋" w:eastAsia="仿宋" w:cs="仿宋"/>
                <w:sz w:val="24"/>
                <w:szCs w:val="24"/>
                <w:vertAlign w:val="baseline"/>
                <w:lang w:val="en-US" w:eastAsia="zh-CN"/>
              </w:rPr>
              <w:t>恢复及生态修复</w:t>
            </w:r>
            <w:r>
              <w:rPr>
                <w:rFonts w:hint="default" w:ascii="仿宋" w:hAnsi="仿宋" w:eastAsia="仿宋" w:cs="仿宋"/>
                <w:sz w:val="24"/>
                <w:szCs w:val="24"/>
                <w:vertAlign w:val="baseline"/>
                <w:lang w:val="en-US" w:eastAsia="zh-CN"/>
              </w:rPr>
              <w:t>技术</w:t>
            </w:r>
            <w:bookmarkEnd w:id="1"/>
            <w:bookmarkEnd w:id="2"/>
            <w:bookmarkEnd w:id="3"/>
            <w:bookmarkEnd w:id="4"/>
          </w:p>
        </w:tc>
        <w:tc>
          <w:tcPr>
            <w:tcW w:w="6780" w:type="dxa"/>
            <w:vAlign w:val="center"/>
          </w:tcPr>
          <w:p w14:paraId="5DBABC7D">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vertAlign w:val="baseline"/>
              </w:rPr>
            </w:pPr>
            <w:r>
              <w:rPr>
                <w:rFonts w:hint="default" w:ascii="Times New Roman" w:hAnsi="Times New Roman" w:eastAsia="仿宋" w:cs="Times New Roman"/>
                <w:sz w:val="24"/>
                <w:szCs w:val="24"/>
                <w:vertAlign w:val="baseline"/>
              </w:rPr>
              <w:t>该技术以锑铅废弃矿区复绿为核心，通过树种选择、模式配置及土壤改良精准复配，构建锑铅矿区植被恢复及生态修复技术体系，突破传统重金属污染矿区造林成活率低、适配树草种少、造林成本高的瓶颈，适配各类废弃地场景生态修复。技术构建</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乔木</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草本</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或</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乔木</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灌木</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草本</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的矿区植被恢复模式，乔木株行距2m×3m、灌木株行距2m×2m、草本每平方米4株</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丛；6年林郁闭度达0.6以上，林地覆盖度达95%以上，林地土壤重金属含量每年降低6%以上，有机质含量每年提高2%以上，氮磷养分含量提高1.6%以上，夏秋季土壤水分含量提高36%以上。成果筛选出乔、灌、草适生植物26个，选育高耐镉楸树良种</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滇楸1号</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；授权发明专利5项，发表研究论文25篇，颁布林业行业标准1项、湖南省地方标准1项；获湖南省科技进步奖三等奖1项。</w:t>
            </w:r>
          </w:p>
        </w:tc>
        <w:tc>
          <w:tcPr>
            <w:tcW w:w="1800" w:type="dxa"/>
            <w:vAlign w:val="center"/>
          </w:tcPr>
          <w:p w14:paraId="3DEDC40C">
            <w:pPr>
              <w:keepNext w:val="0"/>
              <w:keepLines w:val="0"/>
              <w:pageBreakBefore w:val="0"/>
              <w:widowControl/>
              <w:kinsoku/>
              <w:wordWrap/>
              <w:overflowPunct/>
              <w:topLinePunct w:val="0"/>
              <w:autoSpaceDE/>
              <w:autoSpaceDN/>
              <w:bidi w:val="0"/>
              <w:adjustRightInd/>
              <w:snapToGrid/>
              <w:jc w:val="left"/>
              <w:rPr>
                <w:rFonts w:hint="eastAsia" w:ascii="仿宋" w:hAnsi="仿宋" w:eastAsia="仿宋" w:cs="仿宋"/>
                <w:sz w:val="24"/>
                <w:szCs w:val="24"/>
                <w:vertAlign w:val="baseline"/>
              </w:rPr>
            </w:pPr>
            <w:r>
              <w:rPr>
                <w:rFonts w:hint="eastAsia" w:ascii="仿宋" w:hAnsi="仿宋" w:eastAsia="仿宋" w:cs="仿宋"/>
                <w:sz w:val="24"/>
                <w:szCs w:val="24"/>
                <w:vertAlign w:val="baseline"/>
                <w:lang w:val="en-US" w:eastAsia="zh-CN"/>
              </w:rPr>
              <w:t>矿山生态保护修复</w:t>
            </w:r>
          </w:p>
        </w:tc>
        <w:tc>
          <w:tcPr>
            <w:tcW w:w="1485" w:type="dxa"/>
            <w:vAlign w:val="center"/>
          </w:tcPr>
          <w:p w14:paraId="6B1A649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湖南省林业科学院</w:t>
            </w:r>
          </w:p>
        </w:tc>
        <w:tc>
          <w:tcPr>
            <w:tcW w:w="1497" w:type="dxa"/>
            <w:vAlign w:val="center"/>
          </w:tcPr>
          <w:p w14:paraId="47070C05">
            <w:pPr>
              <w:keepNext w:val="0"/>
              <w:keepLines w:val="0"/>
              <w:pageBreakBefore w:val="0"/>
              <w:widowControl/>
              <w:kinsoku/>
              <w:wordWrap/>
              <w:overflowPunct/>
              <w:topLinePunct w:val="0"/>
              <w:autoSpaceDE/>
              <w:autoSpaceDN/>
              <w:bidi w:val="0"/>
              <w:adjustRightInd/>
              <w:snapToGrid/>
              <w:jc w:val="left"/>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湖南省地质灾害防治与生态修复学会</w:t>
            </w:r>
          </w:p>
        </w:tc>
      </w:tr>
      <w:tr w14:paraId="72B55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dxa"/>
            <w:vAlign w:val="center"/>
          </w:tcPr>
          <w:p w14:paraId="2F982FA9">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9</w:t>
            </w:r>
          </w:p>
        </w:tc>
        <w:tc>
          <w:tcPr>
            <w:tcW w:w="1946" w:type="dxa"/>
            <w:vAlign w:val="center"/>
          </w:tcPr>
          <w:p w14:paraId="4021D3F0">
            <w:pPr>
              <w:keepNext w:val="0"/>
              <w:keepLines w:val="0"/>
              <w:pageBreakBefore w:val="0"/>
              <w:widowControl/>
              <w:kinsoku/>
              <w:wordWrap/>
              <w:overflowPunct/>
              <w:topLinePunct w:val="0"/>
              <w:autoSpaceDE/>
              <w:autoSpaceDN/>
              <w:bidi w:val="0"/>
              <w:adjustRightInd/>
              <w:snapToGrid/>
              <w:jc w:val="left"/>
              <w:rPr>
                <w:rFonts w:hint="default" w:ascii="Times New Roman" w:hAnsi="Times New Roman" w:eastAsia="仿宋" w:cs="Times New Roman"/>
                <w:sz w:val="24"/>
                <w:szCs w:val="24"/>
                <w:vertAlign w:val="baseline"/>
              </w:rPr>
            </w:pPr>
            <w:r>
              <w:rPr>
                <w:rFonts w:hint="default" w:ascii="Times New Roman" w:hAnsi="Times New Roman" w:eastAsia="仿宋" w:cs="Times New Roman"/>
                <w:sz w:val="24"/>
                <w:szCs w:val="24"/>
                <w:vertAlign w:val="baseline"/>
                <w:lang w:val="en-US" w:eastAsia="zh-CN"/>
              </w:rPr>
              <w:t xml:space="preserve">典型石灰岩矿地下水疏干问题快速高效治理技术 </w:t>
            </w:r>
          </w:p>
        </w:tc>
        <w:tc>
          <w:tcPr>
            <w:tcW w:w="6780" w:type="dxa"/>
            <w:vAlign w:val="center"/>
          </w:tcPr>
          <w:p w14:paraId="74B69360">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vertAlign w:val="baseline"/>
              </w:rPr>
            </w:pPr>
            <w:r>
              <w:rPr>
                <w:rFonts w:hint="default" w:ascii="Times New Roman" w:hAnsi="Times New Roman" w:eastAsia="仿宋" w:cs="Times New Roman"/>
                <w:sz w:val="24"/>
                <w:szCs w:val="24"/>
                <w:vertAlign w:val="baseline"/>
              </w:rPr>
              <w:t>该技术利用多种物探手段精准探查矿区地下水流失通道，首次引入低频振动探测器探查通道具体位置，结合动态设计实现精准定位与定点灌浆施工；重点开发适用于矿坑涌水注浆的抗冲蚀浆液及封堵大通道的低成本材料，利用石粉、矿渣、粘土、第四系覆盖层等为原材料研发了抗水流冲刷、经济型的充填材料，完成了动水条件下强岩溶注浆堵水施工工法，以及强岩溶发育地层填、压、劈防渗灌浆施工工法，系统研究地下水漏失引发的环境问题并形成一体化快速修复方案。经常德南方、江西泰和等典型石灰岩矿山验证，涌水量削减80%～90%，地下水位恢复，</w:t>
            </w:r>
            <w:r>
              <w:rPr>
                <w:rFonts w:hint="default" w:ascii="Times New Roman" w:hAnsi="Times New Roman" w:eastAsia="仿宋" w:cs="Times New Roman"/>
                <w:sz w:val="24"/>
                <w:szCs w:val="24"/>
                <w:vertAlign w:val="baseline"/>
                <w:lang w:val="en-US" w:eastAsia="zh-CN"/>
              </w:rPr>
              <w:t>由矿坑涌水引发地面塌陷的地质</w:t>
            </w:r>
            <w:r>
              <w:rPr>
                <w:rFonts w:hint="default" w:ascii="Times New Roman" w:hAnsi="Times New Roman" w:eastAsia="仿宋" w:cs="Times New Roman"/>
                <w:sz w:val="24"/>
                <w:szCs w:val="24"/>
                <w:vertAlign w:val="baseline"/>
              </w:rPr>
              <w:t>灾害消除。已获发明专利4项、实用新型1项，编制团体标准1部，经济社会生态效益显著。</w:t>
            </w:r>
          </w:p>
        </w:tc>
        <w:tc>
          <w:tcPr>
            <w:tcW w:w="1800" w:type="dxa"/>
            <w:vAlign w:val="center"/>
          </w:tcPr>
          <w:p w14:paraId="0FFE30AF">
            <w:pPr>
              <w:keepNext w:val="0"/>
              <w:keepLines w:val="0"/>
              <w:pageBreakBefore w:val="0"/>
              <w:widowControl/>
              <w:kinsoku/>
              <w:wordWrap/>
              <w:overflowPunct/>
              <w:topLinePunct w:val="0"/>
              <w:autoSpaceDE/>
              <w:autoSpaceDN/>
              <w:bidi w:val="0"/>
              <w:adjustRightInd/>
              <w:snapToGrid/>
              <w:jc w:val="left"/>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矿山生态保护修复</w:t>
            </w:r>
          </w:p>
        </w:tc>
        <w:tc>
          <w:tcPr>
            <w:tcW w:w="1485" w:type="dxa"/>
            <w:vAlign w:val="center"/>
          </w:tcPr>
          <w:p w14:paraId="25BE760C">
            <w:pPr>
              <w:keepNext w:val="0"/>
              <w:keepLines w:val="0"/>
              <w:pageBreakBefore w:val="0"/>
              <w:widowControl/>
              <w:kinsoku/>
              <w:wordWrap/>
              <w:overflowPunct/>
              <w:topLinePunct w:val="0"/>
              <w:autoSpaceDE/>
              <w:autoSpaceDN/>
              <w:bidi w:val="0"/>
              <w:adjustRightInd/>
              <w:snapToGrid/>
              <w:jc w:val="left"/>
              <w:rPr>
                <w:rFonts w:hint="eastAsia" w:ascii="仿宋" w:hAnsi="仿宋" w:eastAsia="仿宋" w:cs="仿宋"/>
                <w:sz w:val="24"/>
                <w:szCs w:val="24"/>
                <w:vertAlign w:val="baseline"/>
              </w:rPr>
            </w:pPr>
            <w:r>
              <w:rPr>
                <w:rFonts w:hint="eastAsia" w:ascii="仿宋" w:hAnsi="仿宋" w:eastAsia="仿宋" w:cs="仿宋"/>
                <w:sz w:val="24"/>
                <w:szCs w:val="24"/>
                <w:vertAlign w:val="baseline"/>
                <w:lang w:val="en-US" w:eastAsia="zh-CN"/>
              </w:rPr>
              <w:t>中交宏禹（湖南）水利工程有限公司</w:t>
            </w:r>
          </w:p>
        </w:tc>
        <w:tc>
          <w:tcPr>
            <w:tcW w:w="1497" w:type="dxa"/>
            <w:vAlign w:val="center"/>
          </w:tcPr>
          <w:p w14:paraId="0C3E4D3C">
            <w:pPr>
              <w:keepNext w:val="0"/>
              <w:keepLines w:val="0"/>
              <w:pageBreakBefore w:val="0"/>
              <w:widowControl/>
              <w:kinsoku/>
              <w:wordWrap/>
              <w:overflowPunct/>
              <w:topLinePunct w:val="0"/>
              <w:autoSpaceDE/>
              <w:autoSpaceDN/>
              <w:bidi w:val="0"/>
              <w:adjustRightInd/>
              <w:snapToGrid/>
              <w:jc w:val="left"/>
              <w:rPr>
                <w:rFonts w:hint="eastAsia" w:ascii="仿宋" w:hAnsi="仿宋" w:eastAsia="仿宋" w:cs="仿宋"/>
                <w:sz w:val="24"/>
                <w:szCs w:val="24"/>
                <w:vertAlign w:val="baseline"/>
              </w:rPr>
            </w:pPr>
            <w:r>
              <w:rPr>
                <w:rFonts w:hint="eastAsia" w:ascii="仿宋" w:hAnsi="仿宋" w:eastAsia="仿宋" w:cs="仿宋"/>
                <w:sz w:val="24"/>
                <w:szCs w:val="24"/>
                <w:vertAlign w:val="baseline"/>
                <w:lang w:val="en-US" w:eastAsia="zh-CN"/>
              </w:rPr>
              <w:t>湖南省地质灾害防治与生态修复学会</w:t>
            </w:r>
          </w:p>
        </w:tc>
      </w:tr>
      <w:tr w14:paraId="0C91E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dxa"/>
            <w:vAlign w:val="center"/>
          </w:tcPr>
          <w:p w14:paraId="588046A8">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10</w:t>
            </w:r>
          </w:p>
        </w:tc>
        <w:tc>
          <w:tcPr>
            <w:tcW w:w="1946" w:type="dxa"/>
            <w:shd w:val="clear" w:color="auto" w:fill="auto"/>
            <w:vAlign w:val="center"/>
          </w:tcPr>
          <w:p w14:paraId="2EF58EE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仿宋" w:cs="Times New Roman"/>
                <w:i w:val="0"/>
                <w:iCs w:val="0"/>
                <w:color w:val="000000"/>
                <w:kern w:val="2"/>
                <w:sz w:val="24"/>
                <w:szCs w:val="24"/>
                <w:u w:val="none"/>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典型石漠化地区历史遗留矿山系统性生态修复关键技术</w:t>
            </w:r>
          </w:p>
        </w:tc>
        <w:tc>
          <w:tcPr>
            <w:tcW w:w="6780" w:type="dxa"/>
            <w:vAlign w:val="center"/>
          </w:tcPr>
          <w:p w14:paraId="318DCCB7">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vertAlign w:val="baseline"/>
              </w:rPr>
            </w:pPr>
            <w:r>
              <w:rPr>
                <w:rFonts w:hint="default" w:ascii="Times New Roman" w:hAnsi="Times New Roman" w:eastAsia="仿宋" w:cs="Times New Roman"/>
                <w:sz w:val="24"/>
                <w:szCs w:val="24"/>
                <w:vertAlign w:val="baseline"/>
              </w:rPr>
              <w:t>该成果针对历史遗留矿区</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重金属污染</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石漠化</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水系统破坏</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并发的复合生态问题，创新性提出</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土壤原位修复</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植被群落重构</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水环境安全保障</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全链条系统化解决方案，涵盖重金属污染土壤原位稳定化、石漠化小生境生态修复与景观利用、地表径流拦截阻漏与净化三大核心技术，实现从源头控制到生态重建的治本式修复。技术实施后，植被覆盖率提升40%以上，地表径流得到有效拦截与净化，土壤侵蚀量减少70%以上；通过引入多种抗逆性固氮、先锋与目标植物组合，有力驱动矿区小生境恢复演替，吸引鸟类、昆虫等动物类群回归，区域生物多样性显著增加，矿区景观生态格局与生态系统服务功能得到整体性提升。成果在冷水江锑煤矿生态保护修复工程项目中示范应用，取得显著生态效益和社会效益，先后入选</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湖南省国土空间生态修复十大案例</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、自然资源部《中国生态修复典型案例集》（全国18个案例）、联合国优秀生态修复案例（全球20个案例），获2023年度湖南省地质灾害防治与生态修复学会科学技术二等奖。</w:t>
            </w:r>
          </w:p>
        </w:tc>
        <w:tc>
          <w:tcPr>
            <w:tcW w:w="1800" w:type="dxa"/>
            <w:vAlign w:val="center"/>
          </w:tcPr>
          <w:p w14:paraId="7CB16196">
            <w:pPr>
              <w:keepNext w:val="0"/>
              <w:keepLines w:val="0"/>
              <w:pageBreakBefore w:val="0"/>
              <w:widowControl/>
              <w:kinsoku/>
              <w:wordWrap/>
              <w:overflowPunct/>
              <w:topLinePunct w:val="0"/>
              <w:autoSpaceDE/>
              <w:autoSpaceDN/>
              <w:bidi w:val="0"/>
              <w:adjustRightInd/>
              <w:snapToGrid/>
              <w:jc w:val="left"/>
              <w:rPr>
                <w:rFonts w:hint="eastAsia" w:ascii="仿宋" w:hAnsi="仿宋" w:eastAsia="仿宋" w:cs="仿宋"/>
                <w:sz w:val="24"/>
                <w:szCs w:val="24"/>
                <w:vertAlign w:val="baseline"/>
              </w:rPr>
            </w:pPr>
            <w:r>
              <w:rPr>
                <w:rFonts w:hint="eastAsia" w:ascii="仿宋" w:hAnsi="仿宋" w:eastAsia="仿宋" w:cs="仿宋"/>
                <w:sz w:val="24"/>
                <w:szCs w:val="24"/>
                <w:vertAlign w:val="baseline"/>
                <w:lang w:val="en-US" w:eastAsia="zh-CN"/>
              </w:rPr>
              <w:t>矿山生态保护修复</w:t>
            </w:r>
          </w:p>
        </w:tc>
        <w:tc>
          <w:tcPr>
            <w:tcW w:w="1485" w:type="dxa"/>
            <w:vAlign w:val="center"/>
          </w:tcPr>
          <w:p w14:paraId="32EFB5C7">
            <w:pPr>
              <w:keepNext w:val="0"/>
              <w:keepLines w:val="0"/>
              <w:pageBreakBefore w:val="0"/>
              <w:widowControl/>
              <w:kinsoku/>
              <w:wordWrap/>
              <w:overflowPunct/>
              <w:topLinePunct w:val="0"/>
              <w:autoSpaceDE/>
              <w:autoSpaceDN/>
              <w:bidi w:val="0"/>
              <w:adjustRightInd/>
              <w:snapToGrid/>
              <w:jc w:val="left"/>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西施生态科技股份有限公司、湖南省自然资源事务中心、湖南省园林建设有限公司</w:t>
            </w:r>
          </w:p>
        </w:tc>
        <w:tc>
          <w:tcPr>
            <w:tcW w:w="1497" w:type="dxa"/>
            <w:vAlign w:val="center"/>
          </w:tcPr>
          <w:p w14:paraId="72639FF9">
            <w:pPr>
              <w:keepNext w:val="0"/>
              <w:keepLines w:val="0"/>
              <w:pageBreakBefore w:val="0"/>
              <w:widowControl/>
              <w:kinsoku/>
              <w:wordWrap/>
              <w:overflowPunct/>
              <w:topLinePunct w:val="0"/>
              <w:autoSpaceDE/>
              <w:autoSpaceDN/>
              <w:bidi w:val="0"/>
              <w:adjustRightInd/>
              <w:snapToGrid/>
              <w:jc w:val="left"/>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自主申报</w:t>
            </w:r>
          </w:p>
        </w:tc>
      </w:tr>
      <w:tr w14:paraId="2A91A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dxa"/>
            <w:vAlign w:val="center"/>
          </w:tcPr>
          <w:p w14:paraId="66ACE796">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11</w:t>
            </w:r>
          </w:p>
        </w:tc>
        <w:tc>
          <w:tcPr>
            <w:tcW w:w="1946" w:type="dxa"/>
            <w:shd w:val="clear" w:color="auto" w:fill="auto"/>
            <w:vAlign w:val="center"/>
          </w:tcPr>
          <w:p w14:paraId="3303598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仿宋" w:cs="Times New Roman"/>
                <w:i w:val="0"/>
                <w:iCs w:val="0"/>
                <w:color w:val="000000"/>
                <w:kern w:val="2"/>
                <w:sz w:val="24"/>
                <w:szCs w:val="24"/>
                <w:u w:val="none"/>
                <w:lang w:val="en-US" w:eastAsia="zh-CN" w:bidi="ar-SA"/>
              </w:rPr>
            </w:pPr>
            <w:r>
              <w:rPr>
                <w:rFonts w:hint="default" w:ascii="Times New Roman" w:hAnsi="Times New Roman" w:eastAsia="仿宋" w:cs="Times New Roman"/>
                <w:i w:val="0"/>
                <w:iCs w:val="0"/>
                <w:color w:val="000000"/>
                <w:kern w:val="0"/>
                <w:sz w:val="24"/>
                <w:szCs w:val="24"/>
                <w:u w:val="none"/>
                <w:lang w:val="en-US" w:eastAsia="zh-CN" w:bidi="ar"/>
              </w:rPr>
              <w:t>矿山酸性受损土壤重构与植被恢复技术</w:t>
            </w:r>
          </w:p>
        </w:tc>
        <w:tc>
          <w:tcPr>
            <w:tcW w:w="6780" w:type="dxa"/>
            <w:vAlign w:val="center"/>
          </w:tcPr>
          <w:p w14:paraId="512E47FC">
            <w:pPr>
              <w:keepNext w:val="0"/>
              <w:keepLines w:val="0"/>
              <w:pageBreakBefore w:val="0"/>
              <w:widowControl/>
              <w:suppressLineNumbers w:val="0"/>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vertAlign w:val="baseline"/>
              </w:rPr>
            </w:pPr>
            <w:r>
              <w:rPr>
                <w:rFonts w:hint="default" w:ascii="Times New Roman" w:hAnsi="Times New Roman" w:eastAsia="仿宋" w:cs="Times New Roman"/>
                <w:b w:val="0"/>
                <w:bCs w:val="0"/>
                <w:color w:val="000000"/>
                <w:kern w:val="0"/>
                <w:sz w:val="24"/>
                <w:szCs w:val="24"/>
                <w:lang w:val="en-US" w:eastAsia="zh-CN" w:bidi="ar"/>
              </w:rPr>
              <w:t>该技术针对南方地区矿山土壤酸化、重金属活化、边坡失稳、植被恢复难等问题，研发了“酸性土壤精准改良+生态护坡快速构筑+植被长效恢复”全链条修复技术体系，形成了3项自主授权专利。该技术遵循分区精准施策原理，通过场地检测研判土壤与边坡受损情况，按轻、中、重度分区采用2.5%、5%、8%梯度修复剂掺量，搭配35cm深耕全层拌和工艺，可将土壤pH值稳定调控至5.5</w:t>
            </w:r>
            <w:r>
              <w:rPr>
                <w:rFonts w:hint="default" w:ascii="Times New Roman" w:hAnsi="Times New Roman" w:eastAsia="仿宋" w:cs="Times New Roman"/>
                <w:sz w:val="24"/>
                <w:szCs w:val="24"/>
                <w:vertAlign w:val="baseline"/>
              </w:rPr>
              <w:t>～</w:t>
            </w:r>
            <w:r>
              <w:rPr>
                <w:rFonts w:hint="default" w:ascii="Times New Roman" w:hAnsi="Times New Roman" w:eastAsia="仿宋" w:cs="Times New Roman"/>
                <w:b w:val="0"/>
                <w:bCs w:val="0"/>
                <w:color w:val="000000"/>
                <w:kern w:val="0"/>
                <w:sz w:val="24"/>
                <w:szCs w:val="24"/>
                <w:lang w:val="en-US" w:eastAsia="zh-CN" w:bidi="ar"/>
              </w:rPr>
              <w:t>6.8，提升1.5</w:t>
            </w:r>
            <w:r>
              <w:rPr>
                <w:rFonts w:hint="default" w:ascii="Times New Roman" w:hAnsi="Times New Roman" w:eastAsia="仿宋" w:cs="Times New Roman"/>
                <w:sz w:val="24"/>
                <w:szCs w:val="24"/>
                <w:vertAlign w:val="baseline"/>
              </w:rPr>
              <w:t>～</w:t>
            </w:r>
            <w:r>
              <w:rPr>
                <w:rFonts w:hint="default" w:ascii="Times New Roman" w:hAnsi="Times New Roman" w:eastAsia="仿宋" w:cs="Times New Roman"/>
                <w:b w:val="0"/>
                <w:bCs w:val="0"/>
                <w:color w:val="000000"/>
                <w:kern w:val="0"/>
                <w:sz w:val="24"/>
                <w:szCs w:val="24"/>
                <w:lang w:val="en-US" w:eastAsia="zh-CN" w:bidi="ar"/>
              </w:rPr>
              <w:t>2.0个单位，有效态锰钝化率≥75%，植被成活率超85%，修复效果经六个月监测稳定可靠。技术装备包含一体化土壤修复设备与水肥药精准喷淋装置，实现挖掘、拌合、养护等工序机械化集成作业，搭配预制装配式生态护坡，预留生态孔洞兼顾防护与生态功能，相较传统工艺工期缩短20%。该技术突破传统粗放治理、工序割裂等短板，突破单一修复方式的限制，具备精准化、高效化、长效化优势，适用于退化耕地、工矿废弃地、破损边坡等多种修复场景，已在桂阳县、临湘市等多地落地应用，累计治理酸性受损土壤超200公顷，形成标准化成套施工工艺，可复制性与工程推广价值突出。</w:t>
            </w:r>
          </w:p>
        </w:tc>
        <w:tc>
          <w:tcPr>
            <w:tcW w:w="1800" w:type="dxa"/>
            <w:vAlign w:val="center"/>
          </w:tcPr>
          <w:p w14:paraId="5F382697">
            <w:pPr>
              <w:keepNext w:val="0"/>
              <w:keepLines w:val="0"/>
              <w:pageBreakBefore w:val="0"/>
              <w:widowControl/>
              <w:kinsoku/>
              <w:wordWrap/>
              <w:overflowPunct/>
              <w:topLinePunct w:val="0"/>
              <w:autoSpaceDE/>
              <w:autoSpaceDN/>
              <w:bidi w:val="0"/>
              <w:adjustRightInd/>
              <w:snapToGrid/>
              <w:jc w:val="left"/>
              <w:rPr>
                <w:rFonts w:hint="eastAsia" w:ascii="仿宋" w:hAnsi="仿宋" w:eastAsia="仿宋" w:cs="仿宋"/>
                <w:sz w:val="24"/>
                <w:szCs w:val="24"/>
                <w:vertAlign w:val="baseline"/>
              </w:rPr>
            </w:pPr>
            <w:r>
              <w:rPr>
                <w:rFonts w:hint="eastAsia" w:ascii="仿宋" w:hAnsi="仿宋" w:eastAsia="仿宋" w:cs="仿宋"/>
                <w:sz w:val="24"/>
                <w:szCs w:val="24"/>
                <w:vertAlign w:val="baseline"/>
                <w:lang w:val="en-US" w:eastAsia="zh-CN"/>
              </w:rPr>
              <w:t>矿山生态保护修复</w:t>
            </w:r>
          </w:p>
        </w:tc>
        <w:tc>
          <w:tcPr>
            <w:tcW w:w="1485" w:type="dxa"/>
            <w:vAlign w:val="center"/>
          </w:tcPr>
          <w:p w14:paraId="17FCF526">
            <w:pPr>
              <w:keepNext w:val="0"/>
              <w:keepLines w:val="0"/>
              <w:pageBreakBefore w:val="0"/>
              <w:widowControl/>
              <w:kinsoku/>
              <w:wordWrap/>
              <w:overflowPunct/>
              <w:topLinePunct w:val="0"/>
              <w:autoSpaceDE/>
              <w:autoSpaceDN/>
              <w:bidi w:val="0"/>
              <w:adjustRightInd/>
              <w:snapToGrid/>
              <w:jc w:val="left"/>
              <w:rPr>
                <w:rFonts w:hint="eastAsia" w:ascii="仿宋" w:hAnsi="仿宋" w:eastAsia="仿宋" w:cs="仿宋"/>
                <w:sz w:val="24"/>
                <w:szCs w:val="24"/>
                <w:vertAlign w:val="baseline"/>
              </w:rPr>
            </w:pPr>
            <w:r>
              <w:rPr>
                <w:rFonts w:hint="eastAsia" w:ascii="仿宋" w:hAnsi="仿宋" w:eastAsia="仿宋" w:cs="仿宋"/>
                <w:sz w:val="24"/>
                <w:szCs w:val="24"/>
                <w:vertAlign w:val="baseline"/>
              </w:rPr>
              <w:t>湖南兴桂建筑工程有限公司</w:t>
            </w:r>
          </w:p>
        </w:tc>
        <w:tc>
          <w:tcPr>
            <w:tcW w:w="1497" w:type="dxa"/>
            <w:vAlign w:val="center"/>
          </w:tcPr>
          <w:p w14:paraId="283D9EDF">
            <w:pPr>
              <w:keepNext w:val="0"/>
              <w:keepLines w:val="0"/>
              <w:pageBreakBefore w:val="0"/>
              <w:widowControl/>
              <w:kinsoku/>
              <w:wordWrap/>
              <w:overflowPunct/>
              <w:topLinePunct w:val="0"/>
              <w:autoSpaceDE/>
              <w:autoSpaceDN/>
              <w:bidi w:val="0"/>
              <w:adjustRightInd/>
              <w:snapToGrid/>
              <w:jc w:val="left"/>
              <w:rPr>
                <w:rFonts w:hint="eastAsia" w:ascii="仿宋" w:hAnsi="仿宋" w:eastAsia="仿宋" w:cs="仿宋"/>
                <w:sz w:val="24"/>
                <w:szCs w:val="24"/>
                <w:vertAlign w:val="baseline"/>
              </w:rPr>
            </w:pPr>
            <w:r>
              <w:rPr>
                <w:rFonts w:hint="eastAsia" w:ascii="仿宋" w:hAnsi="仿宋" w:eastAsia="仿宋" w:cs="仿宋"/>
                <w:sz w:val="24"/>
                <w:szCs w:val="24"/>
                <w:vertAlign w:val="baseline"/>
                <w:lang w:val="en-US" w:eastAsia="zh-CN"/>
              </w:rPr>
              <w:t>湖南省地质灾害防治与生态修复学会</w:t>
            </w:r>
          </w:p>
        </w:tc>
      </w:tr>
      <w:tr w14:paraId="35BE1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172" w:type="dxa"/>
            <w:gridSpan w:val="6"/>
            <w:vAlign w:val="center"/>
          </w:tcPr>
          <w:p w14:paraId="3F78B8E8">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黑体" w:cs="Times New Roman"/>
                <w:sz w:val="24"/>
                <w:szCs w:val="24"/>
                <w:vertAlign w:val="baseline"/>
                <w:lang w:val="en-US" w:eastAsia="zh-CN"/>
              </w:rPr>
              <w:t>经验做法</w:t>
            </w:r>
          </w:p>
        </w:tc>
      </w:tr>
      <w:tr w14:paraId="18B19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dxa"/>
            <w:vAlign w:val="center"/>
          </w:tcPr>
          <w:p w14:paraId="5A35FDE3">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cs="Times New Roman" w:eastAsiaTheme="minorEastAsia"/>
                <w:sz w:val="24"/>
                <w:szCs w:val="24"/>
                <w:vertAlign w:val="baseline"/>
                <w:lang w:val="en-US" w:eastAsia="zh-CN"/>
              </w:rPr>
            </w:pPr>
            <w:r>
              <w:rPr>
                <w:rFonts w:hint="eastAsia" w:ascii="Times New Roman" w:hAnsi="Times New Roman" w:cs="Times New Roman"/>
                <w:sz w:val="24"/>
                <w:szCs w:val="24"/>
                <w:vertAlign w:val="baseline"/>
                <w:lang w:val="en-US" w:eastAsia="zh-CN"/>
              </w:rPr>
              <w:t>12</w:t>
            </w:r>
          </w:p>
        </w:tc>
        <w:tc>
          <w:tcPr>
            <w:tcW w:w="1946" w:type="dxa"/>
            <w:vAlign w:val="center"/>
          </w:tcPr>
          <w:p w14:paraId="1CB9DA6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仿宋" w:cs="Times New Roman"/>
                <w:sz w:val="24"/>
                <w:szCs w:val="24"/>
                <w:vertAlign w:val="baseline"/>
              </w:rPr>
            </w:pPr>
            <w:r>
              <w:rPr>
                <w:rFonts w:hint="eastAsia" w:ascii="仿宋" w:hAnsi="仿宋" w:eastAsia="仿宋" w:cs="仿宋"/>
                <w:i w:val="0"/>
                <w:iCs w:val="0"/>
                <w:color w:val="000000"/>
                <w:kern w:val="0"/>
                <w:sz w:val="24"/>
                <w:szCs w:val="24"/>
                <w:u w:val="none"/>
                <w:lang w:val="en-US" w:eastAsia="zh-CN" w:bidi="ar"/>
              </w:rPr>
              <w:t>基于矿山资源禀赋调查的创新“生态修复+”模式</w:t>
            </w:r>
          </w:p>
        </w:tc>
        <w:tc>
          <w:tcPr>
            <w:tcW w:w="6780" w:type="dxa"/>
            <w:vAlign w:val="center"/>
          </w:tcPr>
          <w:p w14:paraId="6875DE2E">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vertAlign w:val="baseline"/>
              </w:rPr>
            </w:pPr>
            <w:r>
              <w:rPr>
                <w:rFonts w:hint="default" w:ascii="Times New Roman" w:hAnsi="Times New Roman" w:eastAsia="仿宋" w:cs="Times New Roman"/>
                <w:sz w:val="24"/>
                <w:szCs w:val="24"/>
                <w:vertAlign w:val="baseline"/>
                <w:lang w:val="en-US" w:eastAsia="zh-CN"/>
              </w:rPr>
              <w:t>该做法以修复区内资源禀赋调查这一关键路径为基础，为矿山生态修复模式设计与优化提供基础数据和科学依据，驱动矿山精准生态修复模式的创新。通过系统评估修复区域内的资源类型、分布、存量及开发潜力分析，将生态修复目标从“单纯的消除生态环境问题”转变到“激发资源潜力多元共生”，在资源禀赋调查的基础上，通过挖掘区内地质遗迹的科学价值，提升科学（或科普）内涵来打造地质科普和研学地基，同时，充分挖掘红色基因和历史文化传承，来打造工矿旅游、红色旅游基地，实现多种资源和文化的融合，探索出“生态观光+矿业文化+地质科普+红色教育”的创新生态修复模式。不仅解决了困扰矿山多年的生态沉疴，还当地居民一片绿水青山，同时带动了地方生态旅游与红色旅游业发展，成为地区经济转型的新动力，为全国乃至全世界相似矿山的生态修复提供了经验。</w:t>
            </w:r>
            <w:r>
              <w:rPr>
                <w:rFonts w:hint="default" w:ascii="Times New Roman" w:hAnsi="Times New Roman" w:eastAsia="仿宋" w:cs="Times New Roman"/>
                <w:sz w:val="24"/>
                <w:szCs w:val="24"/>
                <w:vertAlign w:val="baseline"/>
              </w:rPr>
              <w:t>已获发明专利及实用新型专利</w:t>
            </w:r>
            <w:r>
              <w:rPr>
                <w:rFonts w:hint="default" w:ascii="Times New Roman" w:hAnsi="Times New Roman" w:eastAsia="仿宋" w:cs="Times New Roman"/>
                <w:sz w:val="24"/>
                <w:szCs w:val="24"/>
                <w:vertAlign w:val="baseline"/>
                <w:lang w:val="en-US" w:eastAsia="zh-CN"/>
              </w:rPr>
              <w:t>2</w:t>
            </w:r>
            <w:r>
              <w:rPr>
                <w:rFonts w:hint="default" w:ascii="Times New Roman" w:hAnsi="Times New Roman" w:eastAsia="仿宋" w:cs="Times New Roman"/>
                <w:sz w:val="24"/>
                <w:szCs w:val="24"/>
                <w:vertAlign w:val="baseline"/>
              </w:rPr>
              <w:t>项，先后获</w:t>
            </w:r>
            <w:r>
              <w:rPr>
                <w:rFonts w:hint="default" w:ascii="Times New Roman" w:hAnsi="Times New Roman" w:eastAsia="仿宋" w:cs="Times New Roman"/>
                <w:snapToGrid w:val="0"/>
                <w:color w:val="000000"/>
                <w:kern w:val="0"/>
                <w:sz w:val="24"/>
                <w:szCs w:val="24"/>
                <w:lang w:val="en-US" w:eastAsia="zh-CN" w:bidi="ar-SA"/>
              </w:rPr>
              <w:t>湖南省国土空间生态修复十大范例、中国生态修复典型案例集、联合国“生态系统恢复十年”优秀案例、湖南省地质院优秀科技成果奖、</w:t>
            </w:r>
            <w:r>
              <w:rPr>
                <w:rFonts w:hint="default" w:ascii="Times New Roman" w:hAnsi="Times New Roman" w:eastAsia="仿宋" w:cs="Times New Roman"/>
                <w:sz w:val="24"/>
                <w:szCs w:val="24"/>
                <w:vertAlign w:val="baseline"/>
                <w:lang w:val="en-US" w:eastAsia="zh-CN"/>
              </w:rPr>
              <w:t>湖南省地质灾害防治与生态修复学会优秀设计一</w:t>
            </w:r>
            <w:r>
              <w:rPr>
                <w:rFonts w:hint="default" w:ascii="Times New Roman" w:hAnsi="Times New Roman" w:eastAsia="仿宋" w:cs="Times New Roman"/>
                <w:sz w:val="24"/>
                <w:szCs w:val="24"/>
                <w:vertAlign w:val="baseline"/>
              </w:rPr>
              <w:t>等奖、</w:t>
            </w:r>
            <w:r>
              <w:rPr>
                <w:rFonts w:hint="default" w:ascii="Times New Roman" w:hAnsi="Times New Roman" w:eastAsia="仿宋" w:cs="Times New Roman"/>
                <w:sz w:val="24"/>
                <w:szCs w:val="24"/>
                <w:vertAlign w:val="baseline"/>
                <w:lang w:val="en-US" w:eastAsia="zh-CN"/>
              </w:rPr>
              <w:t>湖南省地质学会地质科技进步</w:t>
            </w:r>
            <w:r>
              <w:rPr>
                <w:rFonts w:hint="default" w:ascii="Times New Roman" w:hAnsi="Times New Roman" w:eastAsia="仿宋" w:cs="Times New Roman"/>
                <w:sz w:val="24"/>
                <w:szCs w:val="24"/>
                <w:vertAlign w:val="baseline"/>
              </w:rPr>
              <w:t>二等奖等荣誉。</w:t>
            </w:r>
          </w:p>
        </w:tc>
        <w:tc>
          <w:tcPr>
            <w:tcW w:w="1800" w:type="dxa"/>
            <w:vAlign w:val="center"/>
          </w:tcPr>
          <w:p w14:paraId="6D9912C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矿山生态保护修复</w:t>
            </w:r>
          </w:p>
        </w:tc>
        <w:tc>
          <w:tcPr>
            <w:tcW w:w="1485" w:type="dxa"/>
            <w:vAlign w:val="center"/>
          </w:tcPr>
          <w:p w14:paraId="7A9CE99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湖南省自然资源调查所</w:t>
            </w:r>
          </w:p>
        </w:tc>
        <w:tc>
          <w:tcPr>
            <w:tcW w:w="1497" w:type="dxa"/>
            <w:vAlign w:val="center"/>
          </w:tcPr>
          <w:p w14:paraId="68C5D618">
            <w:pPr>
              <w:keepNext w:val="0"/>
              <w:keepLines w:val="0"/>
              <w:pageBreakBefore w:val="0"/>
              <w:widowControl/>
              <w:kinsoku/>
              <w:wordWrap/>
              <w:overflowPunct/>
              <w:topLinePunct w:val="0"/>
              <w:autoSpaceDE/>
              <w:autoSpaceDN/>
              <w:bidi w:val="0"/>
              <w:adjustRightInd/>
              <w:snapToGrid/>
              <w:jc w:val="left"/>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湖南省地质院</w:t>
            </w:r>
          </w:p>
        </w:tc>
      </w:tr>
      <w:tr w14:paraId="58C7B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dxa"/>
            <w:vAlign w:val="center"/>
          </w:tcPr>
          <w:p w14:paraId="78379E8B">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cs="Times New Roman" w:eastAsiaTheme="minorEastAsia"/>
                <w:sz w:val="24"/>
                <w:szCs w:val="24"/>
                <w:vertAlign w:val="baseline"/>
                <w:lang w:val="en-US" w:eastAsia="zh-CN"/>
              </w:rPr>
            </w:pPr>
            <w:r>
              <w:rPr>
                <w:rFonts w:hint="eastAsia" w:ascii="Times New Roman" w:hAnsi="Times New Roman" w:cs="Times New Roman"/>
                <w:sz w:val="24"/>
                <w:szCs w:val="24"/>
                <w:vertAlign w:val="baseline"/>
                <w:lang w:val="en-US" w:eastAsia="zh-CN"/>
              </w:rPr>
              <w:t>13</w:t>
            </w:r>
          </w:p>
        </w:tc>
        <w:tc>
          <w:tcPr>
            <w:tcW w:w="1946" w:type="dxa"/>
            <w:vAlign w:val="center"/>
          </w:tcPr>
          <w:p w14:paraId="5110A84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仿宋" w:cs="Times New Roman"/>
                <w:sz w:val="24"/>
                <w:szCs w:val="24"/>
                <w:vertAlign w:val="baseline"/>
              </w:rPr>
            </w:pPr>
            <w:r>
              <w:rPr>
                <w:rFonts w:hint="eastAsia" w:ascii="仿宋" w:hAnsi="仿宋" w:eastAsia="仿宋" w:cs="仿宋"/>
                <w:i w:val="0"/>
                <w:iCs w:val="0"/>
                <w:color w:val="000000"/>
                <w:kern w:val="0"/>
                <w:sz w:val="24"/>
                <w:szCs w:val="24"/>
                <w:u w:val="none"/>
                <w:lang w:val="en-US" w:eastAsia="zh-CN" w:bidi="ar"/>
              </w:rPr>
              <w:t>湖南省水生态产品价值实现——以麻阳县为例</w:t>
            </w:r>
          </w:p>
        </w:tc>
        <w:tc>
          <w:tcPr>
            <w:tcW w:w="6780" w:type="dxa"/>
            <w:vAlign w:val="center"/>
          </w:tcPr>
          <w:p w14:paraId="1992F9E4">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仿宋" w:cs="Times New Roman"/>
                <w:sz w:val="24"/>
                <w:szCs w:val="24"/>
                <w:vertAlign w:val="baseline"/>
                <w:lang w:val="en-US" w:eastAsia="zh-CN"/>
              </w:rPr>
              <w:t>本</w:t>
            </w:r>
            <w:r>
              <w:rPr>
                <w:rFonts w:hint="default" w:ascii="Times New Roman" w:hAnsi="Times New Roman" w:eastAsia="仿宋" w:cs="Times New Roman"/>
                <w:sz w:val="24"/>
                <w:szCs w:val="24"/>
                <w:vertAlign w:val="baseline"/>
              </w:rPr>
              <w:t>案例以水生态产品价值实现为核心，实行水资源确权，创新构建“固定+可选”动态目录清单与本土化核算模型，</w:t>
            </w:r>
            <w:r>
              <w:rPr>
                <w:rFonts w:hint="default" w:ascii="Times New Roman" w:hAnsi="Times New Roman" w:eastAsia="仿宋" w:cs="Times New Roman"/>
                <w:sz w:val="24"/>
                <w:szCs w:val="24"/>
                <w:vertAlign w:val="baseline"/>
                <w:lang w:val="en-US" w:eastAsia="zh-CN"/>
              </w:rPr>
              <w:t>形成</w:t>
            </w:r>
            <w:r>
              <w:rPr>
                <w:rFonts w:hint="default" w:ascii="Times New Roman" w:hAnsi="Times New Roman" w:eastAsia="仿宋" w:cs="Times New Roman"/>
                <w:sz w:val="24"/>
                <w:szCs w:val="24"/>
                <w:vertAlign w:val="baseline"/>
              </w:rPr>
              <w:t>涵盖核算指标体系、核算方法及参数设定的统一科学核算体系，精准破解水生态产品度量难题</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lang w:val="en-US" w:eastAsia="zh-CN"/>
              </w:rPr>
              <w:t>案例</w:t>
            </w:r>
            <w:r>
              <w:rPr>
                <w:rFonts w:hint="default" w:ascii="Times New Roman" w:hAnsi="Times New Roman" w:eastAsia="仿宋" w:cs="Times New Roman"/>
                <w:sz w:val="24"/>
                <w:szCs w:val="24"/>
                <w:vertAlign w:val="baseline"/>
              </w:rPr>
              <w:t>创新水生态产品金融供给，实现水生态产品可量化、可抵押，探索形成“有主、有价、有市、有底、有路”的“五有”实现路径，为水生态产品抵押、流转、变现提供技术支撑，推动生态资源向经济价值转化。</w:t>
            </w:r>
            <w:r>
              <w:rPr>
                <w:rFonts w:hint="default" w:ascii="Times New Roman" w:hAnsi="Times New Roman" w:eastAsia="仿宋" w:cs="Times New Roman"/>
                <w:sz w:val="24"/>
                <w:szCs w:val="24"/>
                <w:vertAlign w:val="baseline"/>
                <w:lang w:val="en-US" w:eastAsia="zh-CN"/>
              </w:rPr>
              <w:t>相关成果已成功入选2024全国基层治水十大经验。</w:t>
            </w:r>
          </w:p>
        </w:tc>
        <w:tc>
          <w:tcPr>
            <w:tcW w:w="1800" w:type="dxa"/>
            <w:vAlign w:val="center"/>
          </w:tcPr>
          <w:p w14:paraId="00554D7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水（含河湖岸线）生态保护修复</w:t>
            </w:r>
          </w:p>
        </w:tc>
        <w:tc>
          <w:tcPr>
            <w:tcW w:w="1485" w:type="dxa"/>
            <w:vAlign w:val="center"/>
          </w:tcPr>
          <w:p w14:paraId="538CFD2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湖南省水利水电科学研究院、</w:t>
            </w:r>
            <w:r>
              <w:rPr>
                <w:rFonts w:hint="eastAsia" w:ascii="Times New Roman" w:hAnsi="Times New Roman" w:eastAsia="仿宋" w:cs="Times New Roman"/>
                <w:color w:val="auto"/>
                <w:spacing w:val="-2"/>
                <w:sz w:val="24"/>
                <w:szCs w:val="24"/>
                <w:lang w:val="en-US" w:eastAsia="zh-CN"/>
              </w:rPr>
              <w:t>麻阳苗族自治县水利局</w:t>
            </w:r>
          </w:p>
        </w:tc>
        <w:tc>
          <w:tcPr>
            <w:tcW w:w="1497" w:type="dxa"/>
            <w:vAlign w:val="center"/>
          </w:tcPr>
          <w:p w14:paraId="4AF3B8EA">
            <w:pPr>
              <w:keepNext w:val="0"/>
              <w:keepLines w:val="0"/>
              <w:pageBreakBefore w:val="0"/>
              <w:widowControl/>
              <w:kinsoku/>
              <w:wordWrap/>
              <w:overflowPunct/>
              <w:topLinePunct w:val="0"/>
              <w:autoSpaceDE/>
              <w:autoSpaceDN/>
              <w:bidi w:val="0"/>
              <w:adjustRightInd/>
              <w:snapToGrid/>
              <w:jc w:val="left"/>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湖南省水利厅</w:t>
            </w:r>
          </w:p>
        </w:tc>
      </w:tr>
      <w:tr w14:paraId="4610C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dxa"/>
            <w:vAlign w:val="center"/>
          </w:tcPr>
          <w:p w14:paraId="03E655EB">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14</w:t>
            </w:r>
          </w:p>
        </w:tc>
        <w:tc>
          <w:tcPr>
            <w:tcW w:w="1946" w:type="dxa"/>
            <w:vAlign w:val="center"/>
          </w:tcPr>
          <w:p w14:paraId="1568874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仿宋" w:cs="Times New Roman"/>
                <w:sz w:val="24"/>
                <w:szCs w:val="24"/>
                <w:vertAlign w:val="baseline"/>
              </w:rPr>
            </w:pPr>
            <w:r>
              <w:rPr>
                <w:rFonts w:hint="eastAsia" w:ascii="仿宋" w:hAnsi="仿宋" w:eastAsia="仿宋" w:cs="仿宋"/>
                <w:i w:val="0"/>
                <w:iCs w:val="0"/>
                <w:color w:val="000000"/>
                <w:kern w:val="0"/>
                <w:sz w:val="24"/>
                <w:szCs w:val="24"/>
                <w:u w:val="none"/>
                <w:lang w:val="en-US" w:eastAsia="zh-CN" w:bidi="ar"/>
              </w:rPr>
              <w:t>矿山高陡碎石边坡生态修复“分级降坡整形+土壤改良+固坡复绿+管养并重”治理模式</w:t>
            </w:r>
          </w:p>
        </w:tc>
        <w:tc>
          <w:tcPr>
            <w:tcW w:w="6780" w:type="dxa"/>
            <w:vAlign w:val="center"/>
          </w:tcPr>
          <w:p w14:paraId="4AE89ACE">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vertAlign w:val="baseline"/>
              </w:rPr>
            </w:pPr>
            <w:r>
              <w:rPr>
                <w:rFonts w:hint="default" w:ascii="Times New Roman" w:hAnsi="Times New Roman" w:eastAsia="仿宋" w:cs="Times New Roman"/>
                <w:snapToGrid w:val="0"/>
                <w:color w:val="000000"/>
                <w:kern w:val="0"/>
                <w:sz w:val="24"/>
                <w:szCs w:val="24"/>
                <w:lang w:val="en-US" w:eastAsia="zh-CN" w:bidi="ar-SA"/>
              </w:rPr>
              <w:t>该做法</w:t>
            </w:r>
            <w:r>
              <w:rPr>
                <w:rFonts w:hint="default" w:ascii="Times New Roman" w:hAnsi="Times New Roman" w:eastAsia="仿宋" w:cs="Times New Roman"/>
                <w:snapToGrid w:val="0"/>
                <w:color w:val="000000"/>
                <w:kern w:val="0"/>
                <w:sz w:val="24"/>
                <w:szCs w:val="24"/>
                <w:lang w:val="en-US" w:eastAsia="en-US" w:bidi="ar-SA"/>
              </w:rPr>
              <w:t>针对不同致灾特点，部署相应的治理工程，</w:t>
            </w:r>
            <w:r>
              <w:rPr>
                <w:rFonts w:hint="default" w:ascii="Times New Roman" w:hAnsi="Times New Roman" w:eastAsia="仿宋" w:cs="Times New Roman"/>
                <w:snapToGrid w:val="0"/>
                <w:color w:val="000000"/>
                <w:kern w:val="0"/>
                <w:sz w:val="24"/>
                <w:szCs w:val="24"/>
                <w:lang w:val="en-US" w:eastAsia="zh-CN" w:bidi="ar-SA"/>
              </w:rPr>
              <w:t>对钨矿、有色金属矿形成的块状尾矿堆（土壤酸化、重金属含量高、结构松散、易流失），采用“分级降坡整形+土壤改良+固坡复绿+管养并重”的治理模式。针对污染严重的区域，在客土喷播作业过程中同步改良喷播基质，</w:t>
            </w:r>
            <w:r>
              <w:rPr>
                <w:rFonts w:hint="default" w:ascii="Times New Roman" w:hAnsi="Times New Roman" w:eastAsia="仿宋" w:cs="Times New Roman"/>
                <w:snapToGrid w:val="0"/>
                <w:color w:val="000000"/>
                <w:kern w:val="0"/>
                <w:sz w:val="24"/>
                <w:szCs w:val="24"/>
                <w:lang w:val="en-US" w:eastAsia="en-US" w:bidi="ar-SA"/>
              </w:rPr>
              <w:t>满足新建植被在此酷劣环境中生存的需求</w:t>
            </w:r>
            <w:r>
              <w:rPr>
                <w:rFonts w:hint="default" w:ascii="Times New Roman" w:hAnsi="Times New Roman" w:eastAsia="仿宋" w:cs="Times New Roman"/>
                <w:snapToGrid w:val="0"/>
                <w:color w:val="000000"/>
                <w:kern w:val="0"/>
                <w:sz w:val="24"/>
                <w:szCs w:val="24"/>
                <w:lang w:val="en-US" w:eastAsia="zh-CN" w:bidi="ar-SA"/>
              </w:rPr>
              <w:t>。同时，优化植被选种配比，通过乡土植被调查和多次现场试验，选用根系发达、抗污染性强且适应小气候的植被群落，复绿后植被形成了乔、灌、藤、草、花有机结合，层次分明的生态系统。其“分级治理+差异化工艺+长效管护”的技术模式，可根据不同矿区的地形条件、隐患等级、土壤状况灵活调整；工程固坡与生态复绿的技术组合适配性强，截排水系统搭建、乡土植被选择与后期养护的成熟经验可直接复用，为湖南省内同类矿山生态修复提供了标准化参考路径，推广价值较高，可有效降低同类项目的实施成本与技术试错风险。</w:t>
            </w:r>
          </w:p>
        </w:tc>
        <w:tc>
          <w:tcPr>
            <w:tcW w:w="1800" w:type="dxa"/>
            <w:vAlign w:val="center"/>
          </w:tcPr>
          <w:p w14:paraId="4DEACC5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矿山生态保护修复</w:t>
            </w:r>
          </w:p>
        </w:tc>
        <w:tc>
          <w:tcPr>
            <w:tcW w:w="1485" w:type="dxa"/>
            <w:vAlign w:val="center"/>
          </w:tcPr>
          <w:p w14:paraId="5BDCFB3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湖南省自然资源调查所</w:t>
            </w:r>
          </w:p>
        </w:tc>
        <w:tc>
          <w:tcPr>
            <w:tcW w:w="1497" w:type="dxa"/>
            <w:vAlign w:val="center"/>
          </w:tcPr>
          <w:p w14:paraId="7A7B0106">
            <w:pPr>
              <w:keepNext w:val="0"/>
              <w:keepLines w:val="0"/>
              <w:pageBreakBefore w:val="0"/>
              <w:widowControl/>
              <w:kinsoku/>
              <w:wordWrap/>
              <w:overflowPunct/>
              <w:topLinePunct w:val="0"/>
              <w:autoSpaceDE/>
              <w:autoSpaceDN/>
              <w:bidi w:val="0"/>
              <w:adjustRightInd/>
              <w:snapToGrid/>
              <w:jc w:val="left"/>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湖南省地质院</w:t>
            </w:r>
          </w:p>
        </w:tc>
      </w:tr>
      <w:tr w14:paraId="769F0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dxa"/>
            <w:vAlign w:val="center"/>
          </w:tcPr>
          <w:p w14:paraId="32AA4369">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15</w:t>
            </w:r>
          </w:p>
        </w:tc>
        <w:tc>
          <w:tcPr>
            <w:tcW w:w="1946" w:type="dxa"/>
            <w:vAlign w:val="center"/>
          </w:tcPr>
          <w:p w14:paraId="18A8D8D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仿宋" w:cs="Times New Roman"/>
                <w:sz w:val="24"/>
                <w:szCs w:val="24"/>
                <w:vertAlign w:val="baseline"/>
              </w:rPr>
            </w:pPr>
            <w:r>
              <w:rPr>
                <w:rFonts w:hint="eastAsia" w:ascii="仿宋" w:hAnsi="仿宋" w:eastAsia="仿宋" w:cs="仿宋"/>
                <w:i w:val="0"/>
                <w:iCs w:val="0"/>
                <w:color w:val="000000"/>
                <w:kern w:val="0"/>
                <w:sz w:val="24"/>
                <w:szCs w:val="24"/>
                <w:u w:val="none"/>
                <w:lang w:val="en-US" w:eastAsia="zh-CN" w:bidi="ar"/>
              </w:rPr>
              <w:t>创新“配方改良+锚固增强”厚层基材喷播高陡岩质边坡复绿模式</w:t>
            </w:r>
          </w:p>
        </w:tc>
        <w:tc>
          <w:tcPr>
            <w:tcW w:w="6780" w:type="dxa"/>
            <w:vAlign w:val="center"/>
          </w:tcPr>
          <w:p w14:paraId="3206F481">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vertAlign w:val="baseline"/>
              </w:rPr>
            </w:pPr>
            <w:r>
              <w:rPr>
                <w:rFonts w:hint="default" w:ascii="Times New Roman" w:hAnsi="Times New Roman" w:eastAsia="仿宋" w:cs="Times New Roman"/>
                <w:sz w:val="24"/>
                <w:szCs w:val="24"/>
                <w:vertAlign w:val="baseline"/>
              </w:rPr>
              <w:t>该技术针对传统喷播工艺在硬质岩面附着差、易滑塌的痛点，从基材改良与锚固增强两方面系统突破。基材精准改良上，建立</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粘土筛选</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配比优化</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外加剂调控</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三级品控流程，对当地粘土筛分去杂后，按优化配比精准添加有机肥、保水剂与粘合剂，将传统喷播基材升级为抗冲刷、高保墒的营养基质；锚固体系增强上，构建</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主锚杆深层承力</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生态棒植筋浅层加密</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双重锚固系统，确保喷播层长期稳定。技术通过源头控制粘土质量和改良配方，有效提升喷播层一次成型率，大幅降低后期补喷成本，实现陡坡植被持久稳固复绿。</w:t>
            </w:r>
          </w:p>
        </w:tc>
        <w:tc>
          <w:tcPr>
            <w:tcW w:w="1800" w:type="dxa"/>
            <w:vAlign w:val="center"/>
          </w:tcPr>
          <w:p w14:paraId="3A865C8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其他与生态保护修复相关的创新性和普适性技术、方法、工艺、装备</w:t>
            </w:r>
          </w:p>
        </w:tc>
        <w:tc>
          <w:tcPr>
            <w:tcW w:w="1485" w:type="dxa"/>
            <w:vAlign w:val="center"/>
          </w:tcPr>
          <w:p w14:paraId="149C013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湖南省地质地理信息所(湖南省地质大数据中心）、湖南省地信建设工程有限公司</w:t>
            </w:r>
          </w:p>
        </w:tc>
        <w:tc>
          <w:tcPr>
            <w:tcW w:w="1497" w:type="dxa"/>
            <w:vAlign w:val="center"/>
          </w:tcPr>
          <w:p w14:paraId="4B772EC3">
            <w:pPr>
              <w:keepNext w:val="0"/>
              <w:keepLines w:val="0"/>
              <w:pageBreakBefore w:val="0"/>
              <w:widowControl/>
              <w:kinsoku/>
              <w:wordWrap/>
              <w:overflowPunct/>
              <w:topLinePunct w:val="0"/>
              <w:autoSpaceDE/>
              <w:autoSpaceDN/>
              <w:bidi w:val="0"/>
              <w:adjustRightInd/>
              <w:snapToGrid/>
              <w:jc w:val="left"/>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湖南省地质院</w:t>
            </w:r>
          </w:p>
        </w:tc>
      </w:tr>
      <w:tr w14:paraId="23DC8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dxa"/>
            <w:vAlign w:val="center"/>
          </w:tcPr>
          <w:p w14:paraId="5865BC82">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16</w:t>
            </w:r>
          </w:p>
        </w:tc>
        <w:tc>
          <w:tcPr>
            <w:tcW w:w="1946" w:type="dxa"/>
            <w:vAlign w:val="center"/>
          </w:tcPr>
          <w:p w14:paraId="05B5885D">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仿宋" w:cs="Times New Roman"/>
                <w:sz w:val="24"/>
                <w:szCs w:val="24"/>
                <w:vertAlign w:val="baseline"/>
              </w:rPr>
            </w:pPr>
            <w:r>
              <w:rPr>
                <w:rFonts w:hint="eastAsia" w:ascii="仿宋" w:hAnsi="仿宋" w:eastAsia="仿宋" w:cs="仿宋"/>
                <w:i w:val="0"/>
                <w:iCs w:val="0"/>
                <w:color w:val="000000"/>
                <w:kern w:val="0"/>
                <w:sz w:val="24"/>
                <w:szCs w:val="24"/>
                <w:u w:val="none"/>
                <w:lang w:val="en-US" w:eastAsia="zh-CN" w:bidi="ar"/>
              </w:rPr>
              <w:t>衡阳市小微河流闭环治理与全民参与实践模式</w:t>
            </w:r>
          </w:p>
        </w:tc>
        <w:tc>
          <w:tcPr>
            <w:tcW w:w="6780" w:type="dxa"/>
            <w:vAlign w:val="center"/>
          </w:tcPr>
          <w:p w14:paraId="37C64C1D">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vertAlign w:val="baseline"/>
              </w:rPr>
            </w:pPr>
            <w:r>
              <w:rPr>
                <w:rFonts w:hint="default" w:ascii="Times New Roman" w:hAnsi="Times New Roman" w:eastAsia="仿宋" w:cs="Times New Roman"/>
                <w:sz w:val="24"/>
                <w:szCs w:val="24"/>
                <w:vertAlign w:val="baseline"/>
              </w:rPr>
              <w:t>该做法针对衡阳市小微河流常年疏于治理、河道坍塌淤塞、水系不通等突出问题，以群众反映强烈的</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急难愁盼</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民生需求为导向，由市河长办制定小微河流清淤疏浚五年行动计划，自2021年起每年实施800～1000公里清淤任务，市财政按每公里5000至10000元给予奖补。建立规范有序的工作流程，每年年初摸排制定清淤计划、下达年度任务；年中开展专项督查、实时调度进度，因地制宜优化施工方案；年末组织县级验收、市县联合抽查复核，达标后兑现财政奖补。同时通过各级媒体、自媒体平台广泛宣传，结合</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党建</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河长制</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基层典型示范，充分发动群众参与支持清淤管护工作。截至2025年底，全市累计完成4200余公里小微河流清淤，投入各类资金4100余万元，清理淤泥2500多万立方米，全部通过验收复核；河道排涝抗旱、农田灌溉能力明显增强，水体水质和沿岸人居环境持续向好，打造美丽河流350余条。该治理模式为全省首创，获人民日报报道、全国河湖长制简报推介，入选省级创新案例，形成长效管护、多元筹资、全民共治等成熟经验，为小微河流幸福河建设提供可复制推广的实践范本。</w:t>
            </w:r>
          </w:p>
        </w:tc>
        <w:tc>
          <w:tcPr>
            <w:tcW w:w="1800" w:type="dxa"/>
            <w:vAlign w:val="center"/>
          </w:tcPr>
          <w:p w14:paraId="35D7338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水（含河湖岸线）生态保护修复</w:t>
            </w:r>
          </w:p>
        </w:tc>
        <w:tc>
          <w:tcPr>
            <w:tcW w:w="1485" w:type="dxa"/>
            <w:vAlign w:val="center"/>
          </w:tcPr>
          <w:p w14:paraId="666796A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衡阳市河湖与水资源中心</w:t>
            </w:r>
          </w:p>
        </w:tc>
        <w:tc>
          <w:tcPr>
            <w:tcW w:w="1497" w:type="dxa"/>
            <w:vAlign w:val="center"/>
          </w:tcPr>
          <w:p w14:paraId="6E31D052">
            <w:pPr>
              <w:keepNext w:val="0"/>
              <w:keepLines w:val="0"/>
              <w:pageBreakBefore w:val="0"/>
              <w:widowControl/>
              <w:kinsoku/>
              <w:wordWrap/>
              <w:overflowPunct/>
              <w:topLinePunct w:val="0"/>
              <w:autoSpaceDE/>
              <w:autoSpaceDN/>
              <w:bidi w:val="0"/>
              <w:adjustRightInd/>
              <w:snapToGrid/>
              <w:jc w:val="left"/>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衡阳市水利局</w:t>
            </w:r>
          </w:p>
        </w:tc>
      </w:tr>
      <w:tr w14:paraId="09370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dxa"/>
            <w:vAlign w:val="center"/>
          </w:tcPr>
          <w:p w14:paraId="3367837D">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17</w:t>
            </w:r>
          </w:p>
        </w:tc>
        <w:tc>
          <w:tcPr>
            <w:tcW w:w="1946" w:type="dxa"/>
            <w:vAlign w:val="center"/>
          </w:tcPr>
          <w:p w14:paraId="726BAF9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仿宋" w:cs="Times New Roman"/>
                <w:sz w:val="24"/>
                <w:szCs w:val="24"/>
                <w:vertAlign w:val="baseline"/>
              </w:rPr>
            </w:pPr>
            <w:r>
              <w:rPr>
                <w:rFonts w:hint="eastAsia" w:ascii="仿宋" w:hAnsi="仿宋" w:eastAsia="仿宋" w:cs="仿宋"/>
                <w:i w:val="0"/>
                <w:iCs w:val="0"/>
                <w:color w:val="000000"/>
                <w:kern w:val="0"/>
                <w:sz w:val="24"/>
                <w:szCs w:val="24"/>
                <w:u w:val="none"/>
                <w:lang w:val="en-US" w:eastAsia="zh-CN" w:bidi="ar"/>
              </w:rPr>
              <w:t>一体化推进水土保持工程建设</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及水土保持生态价值实现</w:t>
            </w:r>
          </w:p>
        </w:tc>
        <w:tc>
          <w:tcPr>
            <w:tcW w:w="6780" w:type="dxa"/>
            <w:vAlign w:val="center"/>
          </w:tcPr>
          <w:p w14:paraId="6854092B">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vertAlign w:val="baseline"/>
              </w:rPr>
            </w:pPr>
            <w:r>
              <w:rPr>
                <w:rFonts w:hint="default" w:ascii="Times New Roman" w:hAnsi="Times New Roman" w:eastAsia="仿宋" w:cs="Times New Roman"/>
                <w:sz w:val="24"/>
                <w:szCs w:val="24"/>
                <w:vertAlign w:val="baseline"/>
              </w:rPr>
              <w:t>该项目为全国首批、湖南唯一的国家级水土流失综合治理试点，也是我国单体投资最大的水土流失综合治理项目。项目针对以往水土流失治理碎片化实施、部门分头治理、重建设轻运营、生态效益与经济效益割裂等短板，坚持流域统筹、多规融合、部门协同、建管一体、价值转化，构建</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设计-实施-配套机制建设-价值实现-收益分配-再投入</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的水土流失治理新方案，形成可复制、可推广、可持续的水土保持治理新模式。项目创新同步推进工程治理、生态产品价值转化与配套机制建设，结合本地水土流失问题、产业基础、生态与民族特色，在开展水土流失生态治理的同时培育6个水土保持生态产品，借助省级公共交易平台完成2笔交易，交易金额2233.11万元，实现全国一体化推进水土保持工程建设项目生态产品交易零突破，入选水利部</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十四五</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时期水土保持改革创新成效典型案例。项目助力芷江县建立</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投入</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治理</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增值</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交易</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收益反哺</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的水土保持投入循环机制，明确年度30%收益反哺县域水土保持建设，形成可持续投入模式。</w:t>
            </w:r>
          </w:p>
        </w:tc>
        <w:tc>
          <w:tcPr>
            <w:tcW w:w="1800" w:type="dxa"/>
            <w:vAlign w:val="center"/>
          </w:tcPr>
          <w:p w14:paraId="0B85FC6C">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生态风险防控（含外来入侵物种防控、水土流失防治等）</w:t>
            </w:r>
          </w:p>
        </w:tc>
        <w:tc>
          <w:tcPr>
            <w:tcW w:w="1485" w:type="dxa"/>
            <w:vAlign w:val="center"/>
          </w:tcPr>
          <w:p w14:paraId="74B24B8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湖南省水利水电勘测设计规划研究总院有限公司</w:t>
            </w:r>
          </w:p>
        </w:tc>
        <w:tc>
          <w:tcPr>
            <w:tcW w:w="1497" w:type="dxa"/>
            <w:vAlign w:val="center"/>
          </w:tcPr>
          <w:p w14:paraId="1FF73162">
            <w:pPr>
              <w:keepNext w:val="0"/>
              <w:keepLines w:val="0"/>
              <w:pageBreakBefore w:val="0"/>
              <w:widowControl/>
              <w:kinsoku/>
              <w:wordWrap/>
              <w:overflowPunct/>
              <w:topLinePunct w:val="0"/>
              <w:autoSpaceDE/>
              <w:autoSpaceDN/>
              <w:bidi w:val="0"/>
              <w:adjustRightInd/>
              <w:snapToGrid/>
              <w:jc w:val="left"/>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湖南省水利厅</w:t>
            </w:r>
          </w:p>
        </w:tc>
      </w:tr>
      <w:tr w14:paraId="55C8B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dxa"/>
            <w:vAlign w:val="center"/>
          </w:tcPr>
          <w:p w14:paraId="537FD38B">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18</w:t>
            </w:r>
          </w:p>
        </w:tc>
        <w:tc>
          <w:tcPr>
            <w:tcW w:w="1946" w:type="dxa"/>
            <w:vAlign w:val="center"/>
          </w:tcPr>
          <w:p w14:paraId="2CAF93E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仿宋" w:cs="Times New Roman"/>
                <w:sz w:val="24"/>
                <w:szCs w:val="24"/>
                <w:vertAlign w:val="baseline"/>
              </w:rPr>
            </w:pPr>
            <w:r>
              <w:rPr>
                <w:rFonts w:hint="eastAsia" w:ascii="仿宋" w:hAnsi="仿宋" w:eastAsia="仿宋" w:cs="仿宋"/>
                <w:i w:val="0"/>
                <w:iCs w:val="0"/>
                <w:color w:val="000000"/>
                <w:kern w:val="0"/>
                <w:sz w:val="24"/>
                <w:szCs w:val="24"/>
                <w:u w:val="none"/>
                <w:lang w:val="en-US" w:eastAsia="zh-CN" w:bidi="ar"/>
              </w:rPr>
              <w:t>历史遗留废弃矿山生态修复成效评估</w:t>
            </w:r>
          </w:p>
        </w:tc>
        <w:tc>
          <w:tcPr>
            <w:tcW w:w="6780" w:type="dxa"/>
            <w:vAlign w:val="center"/>
          </w:tcPr>
          <w:p w14:paraId="5C81D3F2">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vertAlign w:val="baseline"/>
              </w:rPr>
            </w:pPr>
            <w:r>
              <w:rPr>
                <w:rFonts w:hint="eastAsia" w:ascii="Times New Roman" w:hAnsi="Times New Roman" w:eastAsia="仿宋" w:cs="Times New Roman"/>
                <w:sz w:val="24"/>
                <w:szCs w:val="24"/>
                <w:vertAlign w:val="baseline"/>
              </w:rPr>
              <w:t>该做法系统构建了覆盖“图斑-子项目-工程范围”三个尺度、“工程管理-生态-经济-社会”四个维度及“验收评估-后评估”两个阶段的历史遗留废弃矿山生态修复成效评估做法体系，其典型性表现为三个方面。一是针对矿山生态修复特点，围绕工程绩效、生态适宜性、投入产出、社会满意度等建立指标体系，并按评估尺度逐级细化；二是集成遥感解译、无人机航拍、样方调查、采样分析等技术手段，形成空天地一体化监测与多源数据融合的数据采集模式，配套标准化调查工具，确保数据可追溯；三是基于工程综合成效指数（PEI）计算模型，融合单指标对比、综合效益评估、生态服务价值评估等方法，实现评估结果精准量化。该做法已应用于澧水、资水流域历史遗留矿山生态修复成效评估，支撑6个项目通过省级验收并开展适应性管理，正在湖南省历史遗留废弃矿山生态修复示范工程成效评估中推广应用。</w:t>
            </w:r>
          </w:p>
        </w:tc>
        <w:tc>
          <w:tcPr>
            <w:tcW w:w="1800" w:type="dxa"/>
            <w:vAlign w:val="center"/>
          </w:tcPr>
          <w:p w14:paraId="0762663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生态保护修复成效评估</w:t>
            </w:r>
          </w:p>
        </w:tc>
        <w:tc>
          <w:tcPr>
            <w:tcW w:w="1485" w:type="dxa"/>
            <w:vAlign w:val="center"/>
          </w:tcPr>
          <w:p w14:paraId="433EE79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湖南省地质灾害调查监测所</w:t>
            </w:r>
          </w:p>
        </w:tc>
        <w:tc>
          <w:tcPr>
            <w:tcW w:w="1497" w:type="dxa"/>
            <w:vAlign w:val="center"/>
          </w:tcPr>
          <w:p w14:paraId="5D3289A2">
            <w:pPr>
              <w:keepNext w:val="0"/>
              <w:keepLines w:val="0"/>
              <w:pageBreakBefore w:val="0"/>
              <w:widowControl/>
              <w:kinsoku/>
              <w:wordWrap/>
              <w:overflowPunct/>
              <w:topLinePunct w:val="0"/>
              <w:autoSpaceDE/>
              <w:autoSpaceDN/>
              <w:bidi w:val="0"/>
              <w:adjustRightInd/>
              <w:snapToGrid/>
              <w:jc w:val="left"/>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湖南省地质院</w:t>
            </w:r>
          </w:p>
        </w:tc>
      </w:tr>
      <w:tr w14:paraId="3F5D6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dxa"/>
            <w:vAlign w:val="center"/>
          </w:tcPr>
          <w:p w14:paraId="4CCC0959">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19</w:t>
            </w:r>
          </w:p>
        </w:tc>
        <w:tc>
          <w:tcPr>
            <w:tcW w:w="1946" w:type="dxa"/>
            <w:vAlign w:val="center"/>
          </w:tcPr>
          <w:p w14:paraId="1250285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仿宋" w:cs="Times New Roman"/>
                <w:sz w:val="24"/>
                <w:szCs w:val="24"/>
                <w:vertAlign w:val="baseline"/>
              </w:rPr>
            </w:pPr>
            <w:r>
              <w:rPr>
                <w:rFonts w:hint="eastAsia" w:ascii="仿宋" w:hAnsi="仿宋" w:eastAsia="仿宋" w:cs="仿宋"/>
                <w:i w:val="0"/>
                <w:iCs w:val="0"/>
                <w:color w:val="000000"/>
                <w:kern w:val="0"/>
                <w:sz w:val="24"/>
                <w:szCs w:val="24"/>
                <w:u w:val="none"/>
                <w:lang w:val="en-US" w:eastAsia="zh-CN" w:bidi="ar"/>
              </w:rPr>
              <w:t>重金属污染严格管控区耕地水稻制种安全利用与生态修复模式</w:t>
            </w:r>
          </w:p>
        </w:tc>
        <w:tc>
          <w:tcPr>
            <w:tcW w:w="6780" w:type="dxa"/>
            <w:vAlign w:val="center"/>
          </w:tcPr>
          <w:p w14:paraId="0426D191">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vertAlign w:val="baseline"/>
              </w:rPr>
            </w:pPr>
            <w:r>
              <w:rPr>
                <w:rFonts w:hint="default" w:ascii="Times New Roman" w:hAnsi="Times New Roman" w:eastAsia="仿宋" w:cs="Times New Roman"/>
                <w:sz w:val="24"/>
                <w:szCs w:val="24"/>
                <w:vertAlign w:val="baseline"/>
                <w:lang w:val="en-US" w:eastAsia="zh-CN"/>
              </w:rPr>
              <w:t>该</w:t>
            </w:r>
            <w:r>
              <w:rPr>
                <w:rFonts w:hint="default" w:ascii="Times New Roman" w:hAnsi="Times New Roman" w:eastAsia="仿宋" w:cs="Times New Roman"/>
                <w:sz w:val="24"/>
                <w:szCs w:val="24"/>
                <w:vertAlign w:val="baseline"/>
                <w:lang w:eastAsia="zh-CN"/>
              </w:rPr>
              <w:t>模式主要针对重金属污染严格管控区种植结构调整。传统修复手段投入成本高、效果不好，禁止种植食用水稻之后土地长期闲置，耕地资源浪费严重。而我省是杂交水稻制种大省，制种产业发展与口粮耕地供给存在用地冲突，生态安全、耕地利用、种业保障三重矛盾突出。为筑牢生态安全屏障、盘活耕地资源、缓解水稻制种业与口粮种植争地矛盾，创新推行重金属污染严格管控区水稻制种利用模式。该模式构建“备案准入+闭环监管+全程溯源”全链条管理体系，形成五项机制创新：一是实行“禁口粮、允制种”差异化清单管控；二是设置7项硬性标准开展主体备案准入；三是闭环隔离制种稻谷与食用粮流通渠道；四是落实县级“四包一”网格化包保责任；五是建立市、县、乡三级联合核验机制。该模式打破以往“一刀切禁耕”治理局限，实现污染耕地安全资源化利用，兼顾生态保护与特色种业发展，为湖南省重金属污染耕地</w:t>
            </w:r>
            <w:r>
              <w:rPr>
                <w:rFonts w:hint="default" w:ascii="Times New Roman" w:hAnsi="Times New Roman" w:eastAsia="仿宋" w:cs="Times New Roman"/>
                <w:sz w:val="24"/>
                <w:szCs w:val="24"/>
                <w:vertAlign w:val="baseline"/>
                <w:lang w:val="en-US" w:eastAsia="zh-CN"/>
              </w:rPr>
              <w:t>资源可持续利用和</w:t>
            </w:r>
            <w:r>
              <w:rPr>
                <w:rFonts w:hint="default" w:ascii="Times New Roman" w:hAnsi="Times New Roman" w:eastAsia="仿宋" w:cs="Times New Roman"/>
                <w:sz w:val="24"/>
                <w:szCs w:val="24"/>
                <w:vertAlign w:val="baseline"/>
                <w:lang w:eastAsia="zh-CN"/>
              </w:rPr>
              <w:t>修复治理提供可复制实践路径。</w:t>
            </w:r>
          </w:p>
        </w:tc>
        <w:tc>
          <w:tcPr>
            <w:tcW w:w="1800" w:type="dxa"/>
            <w:vAlign w:val="center"/>
          </w:tcPr>
          <w:p w14:paraId="29498469">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土壤生态保护修复（含土壤退化治理与污染防控）</w:t>
            </w:r>
          </w:p>
        </w:tc>
        <w:tc>
          <w:tcPr>
            <w:tcW w:w="1485" w:type="dxa"/>
            <w:vAlign w:val="center"/>
          </w:tcPr>
          <w:p w14:paraId="3E80F5D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怀化市农业综合服务中心</w:t>
            </w:r>
          </w:p>
        </w:tc>
        <w:tc>
          <w:tcPr>
            <w:tcW w:w="1497" w:type="dxa"/>
            <w:vAlign w:val="center"/>
          </w:tcPr>
          <w:p w14:paraId="1D8C7703">
            <w:pPr>
              <w:keepNext w:val="0"/>
              <w:keepLines w:val="0"/>
              <w:pageBreakBefore w:val="0"/>
              <w:widowControl/>
              <w:kinsoku/>
              <w:wordWrap/>
              <w:overflowPunct/>
              <w:topLinePunct w:val="0"/>
              <w:autoSpaceDE/>
              <w:autoSpaceDN/>
              <w:bidi w:val="0"/>
              <w:adjustRightInd/>
              <w:snapToGrid/>
              <w:jc w:val="left"/>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怀化市农业农村局</w:t>
            </w:r>
          </w:p>
        </w:tc>
      </w:tr>
      <w:tr w14:paraId="6E770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dxa"/>
            <w:vAlign w:val="center"/>
          </w:tcPr>
          <w:p w14:paraId="331B4090">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20</w:t>
            </w:r>
          </w:p>
        </w:tc>
        <w:tc>
          <w:tcPr>
            <w:tcW w:w="1946" w:type="dxa"/>
            <w:vAlign w:val="center"/>
          </w:tcPr>
          <w:p w14:paraId="699550D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Times New Roman" w:hAnsi="Times New Roman" w:eastAsia="仿宋" w:cs="Times New Roman"/>
                <w:sz w:val="24"/>
                <w:szCs w:val="24"/>
                <w:vertAlign w:val="baseline"/>
              </w:rPr>
            </w:pPr>
            <w:r>
              <w:rPr>
                <w:rFonts w:hint="eastAsia" w:ascii="仿宋" w:hAnsi="仿宋" w:eastAsia="仿宋" w:cs="仿宋"/>
                <w:i w:val="0"/>
                <w:iCs w:val="0"/>
                <w:color w:val="000000"/>
                <w:kern w:val="0"/>
                <w:sz w:val="24"/>
                <w:szCs w:val="24"/>
                <w:u w:val="none"/>
                <w:lang w:val="en-US" w:eastAsia="zh-CN" w:bidi="ar"/>
              </w:rPr>
              <w:t>洞庭湖区域山水林田湖草沙一体化保护和修复“天-空-地-网”一体化监测</w:t>
            </w:r>
          </w:p>
        </w:tc>
        <w:tc>
          <w:tcPr>
            <w:tcW w:w="6780" w:type="dxa"/>
            <w:vAlign w:val="center"/>
          </w:tcPr>
          <w:p w14:paraId="26950C07">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vertAlign w:val="baseline"/>
              </w:rPr>
            </w:pPr>
            <w:r>
              <w:rPr>
                <w:rFonts w:hint="eastAsia" w:ascii="Times New Roman" w:hAnsi="Times New Roman" w:eastAsia="仿宋" w:cs="Times New Roman"/>
                <w:sz w:val="24"/>
                <w:szCs w:val="24"/>
                <w:vertAlign w:val="baseline"/>
                <w:lang w:val="en-US" w:eastAsia="zh-CN"/>
              </w:rPr>
              <w:t>该成果</w:t>
            </w:r>
            <w:r>
              <w:rPr>
                <w:rFonts w:hint="default" w:ascii="Times New Roman" w:hAnsi="Times New Roman" w:eastAsia="仿宋" w:cs="Times New Roman"/>
                <w:sz w:val="24"/>
                <w:szCs w:val="24"/>
                <w:vertAlign w:val="baseline"/>
                <w:lang w:val="en-US" w:eastAsia="zh-CN"/>
              </w:rPr>
              <w:t>依托卫星遥感、无人机航测、地面实地调查、铁塔物联网视频多源融合技术创新技术方法，搭建生态功能提升、生态景观格局优化、生态胁迫消减、绩效指标完成四大维度标准化监测指标体系，建立区域、生态修复单元、子项目三级协同监测尺度，配套打造集数据汇聚、智能分析、实时预警、调度指挥于一体的一屏可视数字化监测系统。项目覆盖岳阳、常德、益阳全域4.54万</w:t>
            </w:r>
            <w:r>
              <w:rPr>
                <w:rFonts w:hint="eastAsia" w:ascii="Times New Roman" w:hAnsi="Times New Roman" w:eastAsia="仿宋" w:cs="Times New Roman"/>
                <w:sz w:val="24"/>
                <w:szCs w:val="24"/>
                <w:vertAlign w:val="baseline"/>
                <w:lang w:val="en-US" w:eastAsia="zh-CN"/>
              </w:rPr>
              <w:t>km²</w:t>
            </w:r>
            <w:r>
              <w:rPr>
                <w:rFonts w:hint="default" w:ascii="Times New Roman" w:hAnsi="Times New Roman" w:eastAsia="仿宋" w:cs="Times New Roman"/>
                <w:sz w:val="24"/>
                <w:szCs w:val="24"/>
                <w:vertAlign w:val="baseline"/>
                <w:lang w:val="en-US" w:eastAsia="zh-CN"/>
              </w:rPr>
              <w:t>洞庭湖监测范围，开展全域、全要素、月度季度年度全周期动态监测，有效破解传统监测覆盖有限、数据孤岛、成效难量化痛点，大幅压缩监测周期、提升指标核算效率，精准量化矿山修复、植被恢复、建设用地管控等各类生态变化成果，形成标准化、可复制的监测实施流程与成套数字化成果，全面实现洞庭湖区山水林田湖草沙一体化保护修复全过程精准管控与科学评估。整套技术流程、平台架构、指标体系标准化，具备较强复制推广价值。为流域类重大生态工程数字化监管提供成熟实践样板。</w:t>
            </w:r>
          </w:p>
        </w:tc>
        <w:tc>
          <w:tcPr>
            <w:tcW w:w="1800" w:type="dxa"/>
            <w:vAlign w:val="center"/>
          </w:tcPr>
          <w:p w14:paraId="741D3DE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sz w:val="24"/>
                <w:szCs w:val="24"/>
                <w:vertAlign w:val="baseline"/>
                <w:lang w:val="en-US" w:eastAsia="zh-CN"/>
              </w:rPr>
              <w:t>生态系统监测（含遥感动态监测、地面定位监测、生物指标监测及空天地一体化监测设备研发与方法运用等）</w:t>
            </w:r>
          </w:p>
        </w:tc>
        <w:tc>
          <w:tcPr>
            <w:tcW w:w="1485" w:type="dxa"/>
            <w:vAlign w:val="center"/>
          </w:tcPr>
          <w:p w14:paraId="277F4B7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湖南省第二测绘院</w:t>
            </w:r>
          </w:p>
        </w:tc>
        <w:tc>
          <w:tcPr>
            <w:tcW w:w="1497" w:type="dxa"/>
            <w:vAlign w:val="center"/>
          </w:tcPr>
          <w:p w14:paraId="7F0212BA">
            <w:pPr>
              <w:keepNext w:val="0"/>
              <w:keepLines w:val="0"/>
              <w:pageBreakBefore w:val="0"/>
              <w:widowControl/>
              <w:kinsoku/>
              <w:wordWrap/>
              <w:overflowPunct/>
              <w:topLinePunct w:val="0"/>
              <w:autoSpaceDE/>
              <w:autoSpaceDN/>
              <w:bidi w:val="0"/>
              <w:adjustRightInd/>
              <w:snapToGrid/>
              <w:jc w:val="left"/>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湖南省自然资源厅</w:t>
            </w:r>
          </w:p>
        </w:tc>
      </w:tr>
      <w:tr w14:paraId="4D500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dxa"/>
            <w:vAlign w:val="center"/>
          </w:tcPr>
          <w:p w14:paraId="6D2B6F0C">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21</w:t>
            </w:r>
          </w:p>
        </w:tc>
        <w:tc>
          <w:tcPr>
            <w:tcW w:w="1946" w:type="dxa"/>
            <w:vAlign w:val="center"/>
          </w:tcPr>
          <w:p w14:paraId="7BBD040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山水林田湖草沙一体化保护和修复工程成效评估</w:t>
            </w:r>
          </w:p>
        </w:tc>
        <w:tc>
          <w:tcPr>
            <w:tcW w:w="6780" w:type="dxa"/>
            <w:vAlign w:val="center"/>
          </w:tcPr>
          <w:p w14:paraId="5C91389B">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vertAlign w:val="baseline"/>
              </w:rPr>
            </w:pPr>
            <w:r>
              <w:rPr>
                <w:rFonts w:hint="default" w:ascii="Times New Roman" w:hAnsi="Times New Roman" w:eastAsia="仿宋" w:cs="Times New Roman"/>
                <w:sz w:val="24"/>
                <w:szCs w:val="24"/>
                <w:vertAlign w:val="baseline"/>
                <w:lang w:val="en-US" w:eastAsia="zh-CN"/>
              </w:rPr>
              <w:t>该做法探索形成了一套</w:t>
            </w:r>
            <w:r>
              <w:rPr>
                <w:rFonts w:hint="eastAsia"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lang w:val="en-US" w:eastAsia="zh-CN"/>
              </w:rPr>
              <w:t>多尺度指标体系+天空地网一体化监测+定性与定量相结合</w:t>
            </w:r>
            <w:r>
              <w:rPr>
                <w:rFonts w:hint="eastAsia"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lang w:val="en-US" w:eastAsia="zh-CN"/>
              </w:rPr>
              <w:t>的全流程山水工程成效评估实施模式，其典型性表现为两个方面。一是基于</w:t>
            </w:r>
            <w:r>
              <w:rPr>
                <w:rFonts w:hint="eastAsia"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lang w:val="en-US" w:eastAsia="zh-CN"/>
              </w:rPr>
              <w:t>子项目-修复单元-工程范围</w:t>
            </w:r>
            <w:r>
              <w:rPr>
                <w:rFonts w:hint="eastAsia"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lang w:val="en-US" w:eastAsia="zh-CN"/>
              </w:rPr>
              <w:t>三个评估尺度，实施分层分类的靶向指标定制，分别为子项目设立针对性的工程管理和生态指标，为修复单元量身配置主导服务功能指标，为工程全域构建生态安全格局指标；二是采用基于居民生计变化的社会成效评估，创新构建</w:t>
            </w:r>
            <w:r>
              <w:rPr>
                <w:rFonts w:hint="eastAsia"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lang w:val="en-US" w:eastAsia="zh-CN"/>
              </w:rPr>
              <w:t>生计资本-生计环境-生计结果</w:t>
            </w:r>
            <w:r>
              <w:rPr>
                <w:rFonts w:hint="eastAsia"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lang w:val="en-US" w:eastAsia="zh-CN"/>
              </w:rPr>
              <w:t>三维评价体系，以居民生计为切入，融合AHP-PCA赋权、问卷与参与式评估，对比工程前后变化，量化社会效益。该做法目前已应用于洞庭湖山水工程，也为湖南省</w:t>
            </w:r>
            <w:r>
              <w:rPr>
                <w:rFonts w:hint="eastAsia"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lang w:val="en-US" w:eastAsia="zh-CN"/>
              </w:rPr>
              <w:t>十五五</w:t>
            </w:r>
            <w:r>
              <w:rPr>
                <w:rFonts w:hint="eastAsia"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lang w:val="en-US" w:eastAsia="zh-CN"/>
              </w:rPr>
              <w:t>山水工程及行业内跨区域综合性生态修复提供了可复制的样板。</w:t>
            </w:r>
          </w:p>
        </w:tc>
        <w:tc>
          <w:tcPr>
            <w:tcW w:w="1800" w:type="dxa"/>
            <w:vAlign w:val="center"/>
          </w:tcPr>
          <w:p w14:paraId="18AA3B9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生态保护修复成效评估</w:t>
            </w:r>
          </w:p>
        </w:tc>
        <w:tc>
          <w:tcPr>
            <w:tcW w:w="1485" w:type="dxa"/>
            <w:vAlign w:val="center"/>
          </w:tcPr>
          <w:p w14:paraId="54EF46F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湖南省地质灾害调查监测所</w:t>
            </w:r>
          </w:p>
        </w:tc>
        <w:tc>
          <w:tcPr>
            <w:tcW w:w="1497" w:type="dxa"/>
            <w:vAlign w:val="center"/>
          </w:tcPr>
          <w:p w14:paraId="7345366F">
            <w:pPr>
              <w:keepNext w:val="0"/>
              <w:keepLines w:val="0"/>
              <w:pageBreakBefore w:val="0"/>
              <w:widowControl/>
              <w:kinsoku/>
              <w:wordWrap/>
              <w:overflowPunct/>
              <w:topLinePunct w:val="0"/>
              <w:autoSpaceDE/>
              <w:autoSpaceDN/>
              <w:bidi w:val="0"/>
              <w:adjustRightInd/>
              <w:snapToGrid/>
              <w:jc w:val="left"/>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湖南省地质院</w:t>
            </w:r>
          </w:p>
        </w:tc>
      </w:tr>
      <w:tr w14:paraId="4CDB0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dxa"/>
            <w:vAlign w:val="center"/>
          </w:tcPr>
          <w:p w14:paraId="4C66BF9C">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22</w:t>
            </w:r>
          </w:p>
        </w:tc>
        <w:tc>
          <w:tcPr>
            <w:tcW w:w="1946" w:type="dxa"/>
            <w:vAlign w:val="center"/>
          </w:tcPr>
          <w:p w14:paraId="5CE685E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矿山生态修复“综合利用+产业导入”市场化反哺新模式</w:t>
            </w:r>
          </w:p>
        </w:tc>
        <w:tc>
          <w:tcPr>
            <w:tcW w:w="6780" w:type="dxa"/>
            <w:vAlign w:val="center"/>
          </w:tcPr>
          <w:p w14:paraId="76A11DD7">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 w:cs="Times New Roman"/>
                <w:sz w:val="24"/>
                <w:szCs w:val="24"/>
                <w:vertAlign w:val="baseline"/>
              </w:rPr>
            </w:pPr>
            <w:r>
              <w:rPr>
                <w:rFonts w:hint="default" w:ascii="Times New Roman" w:hAnsi="Times New Roman" w:eastAsia="仿宋" w:cs="Times New Roman"/>
                <w:sz w:val="24"/>
                <w:szCs w:val="24"/>
                <w:vertAlign w:val="baseline"/>
                <w:lang w:val="en-US" w:eastAsia="zh-CN"/>
              </w:rPr>
              <w:t>该经验做法聚焦传统矿山修复财政依赖、治理周期长、长效管护难等痛点，创新构建“政府引导、市场运作、社会参与”市场化修复体系，推行“废石料资源化处置+EPC总承包”一体化模式，打造资源增值、产业赋能、收益反哺的可持续闭环。项目形成“资源评估-配套加工厂同步建设-生态治理与产业用地统筹整理-农光互补、矿山文旅业态落地运营-资源化收益全额反哺后期管护”的标准化实施路径，实现“谁修复、谁受益”。模式彻底扭转单一财政投入的“输血”模式，转为产业自主“造血”，修复周期压缩50%以上，资金利用效率提升3倍。现已落地郴州鲁塘、桂阳等矿区，治理成效显著，为南方历史遗留矿山生态修复提供可复制、可推广的全新实施范式。</w:t>
            </w:r>
          </w:p>
        </w:tc>
        <w:tc>
          <w:tcPr>
            <w:tcW w:w="1800" w:type="dxa"/>
            <w:vAlign w:val="center"/>
          </w:tcPr>
          <w:p w14:paraId="3E8B58C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矿山生态保护修复</w:t>
            </w:r>
          </w:p>
        </w:tc>
        <w:tc>
          <w:tcPr>
            <w:tcW w:w="1485" w:type="dxa"/>
            <w:vAlign w:val="center"/>
          </w:tcPr>
          <w:p w14:paraId="10A129F8">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湖南省工程地质矿山地质调查监测所</w:t>
            </w:r>
          </w:p>
        </w:tc>
        <w:tc>
          <w:tcPr>
            <w:tcW w:w="1497" w:type="dxa"/>
            <w:vAlign w:val="center"/>
          </w:tcPr>
          <w:p w14:paraId="0B51817A">
            <w:pPr>
              <w:keepNext w:val="0"/>
              <w:keepLines w:val="0"/>
              <w:pageBreakBefore w:val="0"/>
              <w:widowControl/>
              <w:kinsoku/>
              <w:wordWrap/>
              <w:overflowPunct/>
              <w:topLinePunct w:val="0"/>
              <w:autoSpaceDE/>
              <w:autoSpaceDN/>
              <w:bidi w:val="0"/>
              <w:adjustRightInd/>
              <w:snapToGrid/>
              <w:jc w:val="left"/>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湖南省地质院</w:t>
            </w:r>
          </w:p>
        </w:tc>
      </w:tr>
      <w:tr w14:paraId="196E4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dxa"/>
            <w:vAlign w:val="center"/>
          </w:tcPr>
          <w:p w14:paraId="0EF2A114">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23</w:t>
            </w:r>
          </w:p>
        </w:tc>
        <w:tc>
          <w:tcPr>
            <w:tcW w:w="1946" w:type="dxa"/>
            <w:vAlign w:val="center"/>
          </w:tcPr>
          <w:p w14:paraId="59DD642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南方露天开采石煤矿区“五位一体”生态修复系统治理经验</w:t>
            </w:r>
          </w:p>
        </w:tc>
        <w:tc>
          <w:tcPr>
            <w:tcW w:w="6780" w:type="dxa"/>
            <w:vAlign w:val="center"/>
          </w:tcPr>
          <w:p w14:paraId="16B76720">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 w:cs="Times New Roman"/>
                <w:sz w:val="24"/>
                <w:szCs w:val="24"/>
                <w:vertAlign w:val="baseline"/>
              </w:rPr>
            </w:pPr>
            <w:r>
              <w:rPr>
                <w:rFonts w:hint="default" w:ascii="Times New Roman" w:hAnsi="Times New Roman" w:eastAsia="仿宋" w:cs="Times New Roman"/>
                <w:sz w:val="24"/>
                <w:szCs w:val="24"/>
                <w:vertAlign w:val="baseline"/>
              </w:rPr>
              <w:t>该成果针对我国南方露天石煤矿区强酸性重金属废水、大规模废石堆淋滤污染、高陡边坡生态崩溃等叠加问题，创新提出</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截流控源、锁水治污、工程治理、生态重构、恢复利用</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五位一体治理路径。自主研发</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二段中和</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硫化联用法</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废水处理工艺，处理成本由5～6元</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吨降至1.7元</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吨；创新应用</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2cm封层+8cm植生层</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双层植被混凝土及V型槽工艺修复高陡边坡；科学采用</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废石回填</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山体爆破</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弃土补充</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组合方案，将5年工期压缩至2.5年；率先在湖南应用</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真空预压固结排水技术</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攻克稀泥坑治理难题。成果在常德石板滩石煤矿区成功实践，累计处理废水超900万方，回填560余万方，修复边坡2.3万平方米，复绿800余亩，林草覆盖率由不足20%跃升至85%以上，成功销号四项国家级督办清单。项目获评湖南省</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生态环境教育基地</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国土空间生态修复十大范例</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，为南方同类矿山提供了可复制的系统性解决方案。</w:t>
            </w:r>
          </w:p>
        </w:tc>
        <w:tc>
          <w:tcPr>
            <w:tcW w:w="1800" w:type="dxa"/>
            <w:vAlign w:val="center"/>
          </w:tcPr>
          <w:p w14:paraId="19C7D16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矿山生态保护修复</w:t>
            </w:r>
          </w:p>
        </w:tc>
        <w:tc>
          <w:tcPr>
            <w:tcW w:w="1485" w:type="dxa"/>
            <w:vAlign w:val="center"/>
          </w:tcPr>
          <w:p w14:paraId="5974700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湖南省城市地质调查监测所</w:t>
            </w:r>
          </w:p>
        </w:tc>
        <w:tc>
          <w:tcPr>
            <w:tcW w:w="1497" w:type="dxa"/>
            <w:vAlign w:val="center"/>
          </w:tcPr>
          <w:p w14:paraId="1581DBAD">
            <w:pPr>
              <w:keepNext w:val="0"/>
              <w:keepLines w:val="0"/>
              <w:pageBreakBefore w:val="0"/>
              <w:widowControl/>
              <w:kinsoku/>
              <w:wordWrap/>
              <w:overflowPunct/>
              <w:topLinePunct w:val="0"/>
              <w:autoSpaceDE/>
              <w:autoSpaceDN/>
              <w:bidi w:val="0"/>
              <w:adjustRightInd/>
              <w:snapToGrid/>
              <w:jc w:val="left"/>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湖南省地质院</w:t>
            </w:r>
          </w:p>
        </w:tc>
      </w:tr>
      <w:tr w14:paraId="3311A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dxa"/>
            <w:vAlign w:val="center"/>
          </w:tcPr>
          <w:p w14:paraId="5B31B08C">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24</w:t>
            </w:r>
          </w:p>
        </w:tc>
        <w:tc>
          <w:tcPr>
            <w:tcW w:w="1946" w:type="dxa"/>
            <w:vAlign w:val="center"/>
          </w:tcPr>
          <w:p w14:paraId="0C77764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石漠化荒山荒地“金樱子生态修复+全产业链开发+农户自发种植”综合治理与产业增收模式</w:t>
            </w:r>
          </w:p>
        </w:tc>
        <w:tc>
          <w:tcPr>
            <w:tcW w:w="6780" w:type="dxa"/>
            <w:vAlign w:val="center"/>
          </w:tcPr>
          <w:p w14:paraId="2DCDB806">
            <w:pPr>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Times New Roman" w:hAnsi="Times New Roman" w:eastAsia="仿宋" w:cs="Times New Roman"/>
                <w:sz w:val="24"/>
                <w:szCs w:val="24"/>
                <w:vertAlign w:val="baseline"/>
              </w:rPr>
            </w:pPr>
            <w:r>
              <w:rPr>
                <w:rFonts w:hint="default" w:ascii="Times New Roman" w:hAnsi="Times New Roman" w:eastAsia="仿宋" w:cs="Times New Roman"/>
                <w:sz w:val="24"/>
                <w:szCs w:val="24"/>
                <w:vertAlign w:val="baseline"/>
                <w:lang w:val="en-US" w:eastAsia="zh-CN"/>
              </w:rPr>
              <w:t>该</w:t>
            </w:r>
            <w:r>
              <w:rPr>
                <w:rFonts w:hint="default" w:ascii="Times New Roman" w:hAnsi="Times New Roman" w:eastAsia="仿宋" w:cs="Times New Roman"/>
                <w:sz w:val="24"/>
                <w:szCs w:val="24"/>
                <w:vertAlign w:val="baseline"/>
                <w:lang w:eastAsia="zh-CN"/>
              </w:rPr>
              <w:t>模式</w:t>
            </w:r>
            <w:r>
              <w:rPr>
                <w:rFonts w:hint="default" w:ascii="Times New Roman" w:hAnsi="Times New Roman" w:eastAsia="仿宋" w:cs="Times New Roman"/>
                <w:sz w:val="24"/>
                <w:szCs w:val="24"/>
                <w:vertAlign w:val="baseline"/>
              </w:rPr>
              <w:t>针对石漠化荒山</w:t>
            </w:r>
            <w:r>
              <w:rPr>
                <w:rFonts w:hint="default" w:ascii="Times New Roman" w:hAnsi="Times New Roman" w:eastAsia="仿宋" w:cs="Times New Roman"/>
                <w:sz w:val="24"/>
                <w:szCs w:val="24"/>
                <w:vertAlign w:val="baseline"/>
                <w:lang w:eastAsia="zh-CN"/>
              </w:rPr>
              <w:t>荒地</w:t>
            </w:r>
            <w:r>
              <w:rPr>
                <w:rFonts w:hint="default" w:ascii="Times New Roman" w:hAnsi="Times New Roman" w:eastAsia="仿宋" w:cs="Times New Roman"/>
                <w:sz w:val="24"/>
                <w:szCs w:val="24"/>
                <w:vertAlign w:val="baseline"/>
              </w:rPr>
              <w:t>“修复成本高、管护难</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山地资源无产业价值</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农户参与积极性低”三大痛点，依托</w:t>
            </w:r>
            <w:r>
              <w:rPr>
                <w:rFonts w:hint="default" w:ascii="Times New Roman" w:hAnsi="Times New Roman" w:eastAsia="仿宋" w:cs="Times New Roman"/>
                <w:sz w:val="24"/>
                <w:szCs w:val="24"/>
                <w:vertAlign w:val="baseline"/>
                <w:lang w:val="en-US" w:eastAsia="zh-CN"/>
              </w:rPr>
              <w:t>怀化</w:t>
            </w:r>
            <w:r>
              <w:rPr>
                <w:rFonts w:hint="default" w:ascii="Times New Roman" w:hAnsi="Times New Roman" w:eastAsia="仿宋" w:cs="Times New Roman"/>
                <w:sz w:val="24"/>
                <w:szCs w:val="24"/>
                <w:vertAlign w:val="baseline"/>
              </w:rPr>
              <w:t>道地药材金樱子耐贫瘠、固土保水</w:t>
            </w:r>
            <w:r>
              <w:rPr>
                <w:rFonts w:hint="default" w:ascii="Times New Roman" w:hAnsi="Times New Roman" w:eastAsia="仿宋" w:cs="Times New Roman"/>
                <w:sz w:val="24"/>
                <w:szCs w:val="24"/>
                <w:vertAlign w:val="baseline"/>
                <w:lang w:val="en-US" w:eastAsia="zh-CN"/>
              </w:rPr>
              <w:t>的生态</w:t>
            </w:r>
            <w:r>
              <w:rPr>
                <w:rFonts w:hint="default" w:ascii="Times New Roman" w:hAnsi="Times New Roman" w:eastAsia="仿宋" w:cs="Times New Roman"/>
                <w:sz w:val="24"/>
                <w:szCs w:val="24"/>
                <w:vertAlign w:val="baseline"/>
              </w:rPr>
              <w:t>特性，构建“生态修复+全产业链开发+农户自发种植”一体化治理增收模式。创新建立“科研+合作社+龙头企业+村集体+农户”五位一体联动机制，集成</w:t>
            </w:r>
            <w:r>
              <w:rPr>
                <w:rFonts w:hint="default" w:ascii="Times New Roman" w:hAnsi="Times New Roman" w:eastAsia="仿宋" w:cs="Times New Roman"/>
                <w:sz w:val="24"/>
                <w:szCs w:val="24"/>
                <w:vertAlign w:val="baseline"/>
                <w:lang w:val="en-US" w:eastAsia="zh-CN"/>
              </w:rPr>
              <w:t>野生资源驯化、</w:t>
            </w:r>
            <w:r>
              <w:rPr>
                <w:rFonts w:hint="default" w:ascii="Times New Roman" w:hAnsi="Times New Roman" w:eastAsia="仿宋" w:cs="Times New Roman"/>
                <w:sz w:val="24"/>
                <w:szCs w:val="24"/>
                <w:vertAlign w:val="baseline"/>
              </w:rPr>
              <w:t>良种壮苗繁育、低密度生态轻简栽培等适配石漠化</w:t>
            </w:r>
            <w:r>
              <w:rPr>
                <w:rFonts w:hint="default" w:ascii="Times New Roman" w:hAnsi="Times New Roman" w:eastAsia="仿宋" w:cs="Times New Roman"/>
                <w:sz w:val="24"/>
                <w:szCs w:val="24"/>
                <w:vertAlign w:val="baseline"/>
                <w:lang w:val="en-US" w:eastAsia="zh-CN"/>
              </w:rPr>
              <w:t>荒山荒地</w:t>
            </w:r>
            <w:r>
              <w:rPr>
                <w:rFonts w:hint="default" w:ascii="Times New Roman" w:hAnsi="Times New Roman" w:eastAsia="仿宋" w:cs="Times New Roman"/>
                <w:sz w:val="24"/>
                <w:szCs w:val="24"/>
                <w:vertAlign w:val="baseline"/>
              </w:rPr>
              <w:t>的配套技术；推行订单保底收购机制，打消农户顾虑，自主参与荒山治理。近三年</w:t>
            </w:r>
            <w:r>
              <w:rPr>
                <w:rFonts w:hint="default" w:ascii="Times New Roman" w:hAnsi="Times New Roman" w:eastAsia="仿宋" w:cs="Times New Roman"/>
                <w:sz w:val="24"/>
                <w:szCs w:val="24"/>
                <w:vertAlign w:val="baseline"/>
                <w:lang w:eastAsia="zh-CN"/>
              </w:rPr>
              <w:t>怀化</w:t>
            </w:r>
            <w:r>
              <w:rPr>
                <w:rFonts w:hint="default" w:ascii="Times New Roman" w:hAnsi="Times New Roman" w:eastAsia="仿宋" w:cs="Times New Roman"/>
                <w:sz w:val="24"/>
                <w:szCs w:val="24"/>
                <w:vertAlign w:val="baseline"/>
              </w:rPr>
              <w:t>市累计发展金樱子生态种植8377亩，亩产400～600公斤，亩均</w:t>
            </w:r>
            <w:r>
              <w:rPr>
                <w:rFonts w:hint="default" w:ascii="Times New Roman" w:hAnsi="Times New Roman" w:eastAsia="仿宋" w:cs="Times New Roman"/>
                <w:sz w:val="24"/>
                <w:szCs w:val="24"/>
                <w:vertAlign w:val="baseline"/>
                <w:lang w:val="en-US" w:eastAsia="zh-CN"/>
              </w:rPr>
              <w:t>年</w:t>
            </w:r>
            <w:r>
              <w:rPr>
                <w:rFonts w:hint="default" w:ascii="Times New Roman" w:hAnsi="Times New Roman" w:eastAsia="仿宋" w:cs="Times New Roman"/>
                <w:sz w:val="24"/>
                <w:szCs w:val="24"/>
                <w:vertAlign w:val="baseline"/>
              </w:rPr>
              <w:t>纯收益2000元。生态层面</w:t>
            </w:r>
            <w:r>
              <w:rPr>
                <w:rFonts w:hint="default" w:ascii="Times New Roman" w:hAnsi="Times New Roman" w:eastAsia="仿宋" w:cs="Times New Roman"/>
                <w:sz w:val="24"/>
                <w:szCs w:val="24"/>
                <w:vertAlign w:val="baseline"/>
                <w:lang w:val="en-US"/>
              </w:rPr>
              <w:t>:</w:t>
            </w:r>
            <w:r>
              <w:rPr>
                <w:rFonts w:hint="default" w:ascii="Times New Roman" w:hAnsi="Times New Roman" w:eastAsia="仿宋" w:cs="Times New Roman"/>
                <w:sz w:val="24"/>
                <w:szCs w:val="24"/>
                <w:vertAlign w:val="baseline"/>
              </w:rPr>
              <w:t>金樱子发达根系可固土蓄水，长效改良石漠化土壤、提升山地植被覆盖率；经济层面</w:t>
            </w:r>
            <w:r>
              <w:rPr>
                <w:rFonts w:hint="default" w:ascii="Times New Roman" w:hAnsi="Times New Roman" w:eastAsia="仿宋" w:cs="Times New Roman"/>
                <w:sz w:val="24"/>
                <w:szCs w:val="24"/>
                <w:vertAlign w:val="baseline"/>
                <w:lang w:val="en-US"/>
              </w:rPr>
              <w:t>:</w:t>
            </w:r>
            <w:r>
              <w:rPr>
                <w:rFonts w:hint="default" w:ascii="Times New Roman" w:hAnsi="Times New Roman" w:eastAsia="仿宋" w:cs="Times New Roman"/>
                <w:sz w:val="24"/>
                <w:szCs w:val="24"/>
                <w:vertAlign w:val="baseline"/>
              </w:rPr>
              <w:t>本地龙头企业打通全产业链，开发饮片、金樱子膏、金樱子酒等深加工产品，持续拓宽市场、提升产业附加值；社会层面</w:t>
            </w:r>
            <w:r>
              <w:rPr>
                <w:rFonts w:hint="default" w:ascii="Times New Roman" w:hAnsi="Times New Roman" w:eastAsia="仿宋" w:cs="Times New Roman"/>
                <w:sz w:val="24"/>
                <w:szCs w:val="24"/>
                <w:vertAlign w:val="baseline"/>
                <w:lang w:val="en-US"/>
              </w:rPr>
              <w:t>:</w:t>
            </w:r>
            <w:r>
              <w:rPr>
                <w:rFonts w:hint="default" w:ascii="Times New Roman" w:hAnsi="Times New Roman" w:eastAsia="仿宋" w:cs="Times New Roman"/>
                <w:sz w:val="24"/>
                <w:szCs w:val="24"/>
                <w:vertAlign w:val="baseline"/>
              </w:rPr>
              <w:t>栽培技术简单易上手，吸纳大量农村闲置劳动力，盘活闲置荒山，有效壮大村集体经济。该模式技术门槛低、投入风险小，适配南方</w:t>
            </w:r>
            <w:r>
              <w:rPr>
                <w:rFonts w:hint="default" w:ascii="Times New Roman" w:hAnsi="Times New Roman" w:eastAsia="仿宋" w:cs="Times New Roman"/>
                <w:sz w:val="24"/>
                <w:szCs w:val="24"/>
                <w:vertAlign w:val="baseline"/>
                <w:lang w:val="en-US" w:eastAsia="zh-CN"/>
              </w:rPr>
              <w:t>半石漠化</w:t>
            </w:r>
            <w:r>
              <w:rPr>
                <w:rFonts w:hint="default" w:ascii="Times New Roman" w:hAnsi="Times New Roman" w:eastAsia="仿宋" w:cs="Times New Roman"/>
                <w:sz w:val="24"/>
                <w:szCs w:val="24"/>
                <w:vertAlign w:val="baseline"/>
              </w:rPr>
              <w:t>、贫瘠低效山地，实现生态治理长效可持续与群众稳定增收双向共赢，具备</w:t>
            </w:r>
            <w:r>
              <w:rPr>
                <w:rFonts w:hint="default" w:ascii="Times New Roman" w:hAnsi="Times New Roman" w:eastAsia="仿宋" w:cs="Times New Roman"/>
                <w:sz w:val="24"/>
                <w:szCs w:val="24"/>
                <w:vertAlign w:val="baseline"/>
                <w:lang w:val="en-US" w:eastAsia="zh-CN"/>
              </w:rPr>
              <w:t>在气候环境条件相类似区域</w:t>
            </w:r>
            <w:r>
              <w:rPr>
                <w:rFonts w:hint="default" w:ascii="Times New Roman" w:hAnsi="Times New Roman" w:eastAsia="仿宋" w:cs="Times New Roman"/>
                <w:sz w:val="24"/>
                <w:szCs w:val="24"/>
                <w:vertAlign w:val="baseline"/>
              </w:rPr>
              <w:t>大范围复制推广</w:t>
            </w:r>
            <w:r>
              <w:rPr>
                <w:rFonts w:hint="default" w:ascii="Times New Roman" w:hAnsi="Times New Roman" w:eastAsia="仿宋" w:cs="Times New Roman"/>
                <w:sz w:val="24"/>
                <w:szCs w:val="24"/>
                <w:vertAlign w:val="baseline"/>
                <w:lang w:val="en-US" w:eastAsia="zh-CN"/>
              </w:rPr>
              <w:t>的</w:t>
            </w:r>
            <w:r>
              <w:rPr>
                <w:rFonts w:hint="default" w:ascii="Times New Roman" w:hAnsi="Times New Roman" w:eastAsia="仿宋" w:cs="Times New Roman"/>
                <w:sz w:val="24"/>
                <w:szCs w:val="24"/>
                <w:vertAlign w:val="baseline"/>
              </w:rPr>
              <w:t>价值。</w:t>
            </w:r>
          </w:p>
        </w:tc>
        <w:tc>
          <w:tcPr>
            <w:tcW w:w="1800" w:type="dxa"/>
            <w:vAlign w:val="center"/>
          </w:tcPr>
          <w:p w14:paraId="58BE0EA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生态风险防控（含外来入侵物种防控、水土流失防治等）</w:t>
            </w:r>
          </w:p>
        </w:tc>
        <w:tc>
          <w:tcPr>
            <w:tcW w:w="1485" w:type="dxa"/>
            <w:vAlign w:val="center"/>
          </w:tcPr>
          <w:p w14:paraId="08EC0AB4">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怀化市农业综合服务中心</w:t>
            </w:r>
          </w:p>
        </w:tc>
        <w:tc>
          <w:tcPr>
            <w:tcW w:w="1497" w:type="dxa"/>
            <w:shd w:val="clear" w:color="auto" w:fill="auto"/>
            <w:vAlign w:val="center"/>
          </w:tcPr>
          <w:p w14:paraId="2C555471">
            <w:pPr>
              <w:keepNext w:val="0"/>
              <w:keepLines w:val="0"/>
              <w:pageBreakBefore w:val="0"/>
              <w:widowControl/>
              <w:kinsoku/>
              <w:wordWrap/>
              <w:overflowPunct/>
              <w:topLinePunct w:val="0"/>
              <w:autoSpaceDE/>
              <w:autoSpaceDN/>
              <w:bidi w:val="0"/>
              <w:adjustRightInd/>
              <w:snapToGrid/>
              <w:jc w:val="left"/>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怀化市农业农村局</w:t>
            </w:r>
          </w:p>
        </w:tc>
      </w:tr>
      <w:tr w14:paraId="362B6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dxa"/>
            <w:vAlign w:val="center"/>
          </w:tcPr>
          <w:p w14:paraId="3A6828D1">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25</w:t>
            </w:r>
          </w:p>
        </w:tc>
        <w:tc>
          <w:tcPr>
            <w:tcW w:w="1946" w:type="dxa"/>
            <w:vAlign w:val="center"/>
          </w:tcPr>
          <w:p w14:paraId="26BAC44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湖南低山丘陵区坡面水沙调控与固碳增汇协同治理实践</w:t>
            </w:r>
          </w:p>
        </w:tc>
        <w:tc>
          <w:tcPr>
            <w:tcW w:w="6780" w:type="dxa"/>
            <w:vAlign w:val="center"/>
          </w:tcPr>
          <w:p w14:paraId="01635AF6">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vertAlign w:val="baseline"/>
              </w:rPr>
            </w:pPr>
            <w:r>
              <w:rPr>
                <w:rFonts w:hint="default" w:ascii="Times New Roman" w:hAnsi="Times New Roman" w:eastAsia="仿宋" w:cs="Times New Roman"/>
                <w:sz w:val="24"/>
                <w:szCs w:val="24"/>
                <w:vertAlign w:val="baseline"/>
              </w:rPr>
              <w:t>该经验主要针对南方低山丘陵区水碳问题，研发以固碳功能为导向的坡面草被优化配置技术、固碳型乡土植被群落碳汇提升技术及水沙过程协同调控技术。通过在湖南岳阳市平江县、郴州市苏仙区建成2处生态修复与固碳增汇示范区，涵盖生态修复造林、固碳功能提升、生态服务功能提升三类示范基地，创新建立向下递增、分段阻滞的差异化草被布设模式，明确60%～90%草被盖度优效区间，兼具成本优势与碳汇增效能力，形成水沙过程协同调控技术；同时针对区域水蚀特征与土壤立地条件，筛选培育耐旱、抗贫瘠、根系发达的固碳型乡土草灌组合，形成以固碳功能为导向的坡面草被优化配置技术和固碳型乡土植被群落碳汇提升技术，可快速形成稳定草灌复合群落，缩短生态功能恢复周期。技术已获软件著作权2项，建成示范基地2个，总面积10620亩。</w:t>
            </w:r>
          </w:p>
        </w:tc>
        <w:tc>
          <w:tcPr>
            <w:tcW w:w="1800" w:type="dxa"/>
            <w:vAlign w:val="center"/>
          </w:tcPr>
          <w:p w14:paraId="6426F08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生态风险防控（含外来入侵物种防控、水土流失防治等）</w:t>
            </w:r>
          </w:p>
        </w:tc>
        <w:tc>
          <w:tcPr>
            <w:tcW w:w="1485" w:type="dxa"/>
            <w:vAlign w:val="center"/>
          </w:tcPr>
          <w:p w14:paraId="06FEF2B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中南林业科技大学</w:t>
            </w:r>
            <w:r>
              <w:rPr>
                <w:rFonts w:hint="eastAsia" w:ascii="仿宋" w:hAnsi="仿宋" w:eastAsia="仿宋" w:cs="仿宋"/>
                <w:sz w:val="24"/>
                <w:szCs w:val="24"/>
                <w:vertAlign w:val="baseline"/>
                <w:lang w:val="en-US" w:eastAsia="zh-CN"/>
              </w:rPr>
              <w:t>水土保持学院</w:t>
            </w:r>
          </w:p>
        </w:tc>
        <w:tc>
          <w:tcPr>
            <w:tcW w:w="1497" w:type="dxa"/>
            <w:vAlign w:val="center"/>
          </w:tcPr>
          <w:p w14:paraId="45E623DB">
            <w:pPr>
              <w:keepNext w:val="0"/>
              <w:keepLines w:val="0"/>
              <w:pageBreakBefore w:val="0"/>
              <w:widowControl/>
              <w:kinsoku/>
              <w:wordWrap/>
              <w:overflowPunct/>
              <w:topLinePunct w:val="0"/>
              <w:autoSpaceDE/>
              <w:autoSpaceDN/>
              <w:bidi w:val="0"/>
              <w:adjustRightInd/>
              <w:snapToGrid/>
              <w:jc w:val="left"/>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中南林业科技大学</w:t>
            </w:r>
          </w:p>
        </w:tc>
      </w:tr>
      <w:tr w14:paraId="6230F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dxa"/>
            <w:vAlign w:val="center"/>
          </w:tcPr>
          <w:p w14:paraId="5C6EE581">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26</w:t>
            </w:r>
          </w:p>
        </w:tc>
        <w:tc>
          <w:tcPr>
            <w:tcW w:w="1946" w:type="dxa"/>
            <w:vAlign w:val="center"/>
          </w:tcPr>
          <w:p w14:paraId="2578C9B0">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default" w:ascii="仿宋" w:hAnsi="仿宋" w:eastAsia="仿宋" w:cs="仿宋"/>
                <w:sz w:val="24"/>
                <w:szCs w:val="24"/>
                <w:vertAlign w:val="baseline"/>
                <w:lang w:val="en-US"/>
              </w:rPr>
            </w:pPr>
            <w:r>
              <w:rPr>
                <w:rFonts w:hint="eastAsia" w:ascii="仿宋" w:hAnsi="仿宋" w:eastAsia="仿宋" w:cs="仿宋"/>
                <w:i w:val="0"/>
                <w:iCs w:val="0"/>
                <w:color w:val="000000"/>
                <w:kern w:val="0"/>
                <w:sz w:val="24"/>
                <w:szCs w:val="24"/>
                <w:u w:val="none"/>
                <w:lang w:val="en-US" w:eastAsia="zh-CN" w:bidi="ar"/>
              </w:rPr>
              <w:t>历史遗留废弃矿山生态修复与多元融合模式——以安化县为例</w:t>
            </w:r>
          </w:p>
        </w:tc>
        <w:tc>
          <w:tcPr>
            <w:tcW w:w="6780" w:type="dxa"/>
            <w:vAlign w:val="center"/>
          </w:tcPr>
          <w:p w14:paraId="4E352948">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vertAlign w:val="baseline"/>
              </w:rPr>
            </w:pPr>
            <w:r>
              <w:rPr>
                <w:rFonts w:hint="default" w:ascii="Times New Roman" w:hAnsi="Times New Roman" w:eastAsia="仿宋" w:cs="Times New Roman"/>
                <w:sz w:val="24"/>
                <w:szCs w:val="24"/>
                <w:vertAlign w:val="baseline"/>
              </w:rPr>
              <w:t>该做法针对历史遗留废弃（露天）矿山生态修复难题，构建水土保持、植被绿化、土壤改良、水体治理一体化修复技术体系，结合地域特征制定差异化治理方案，兼顾生态保护、经济发展与粮食安全。以安化县历史遗留矿山修复项目为实证，形成四方面核心做法：一是编制生态修复规划和实施方案，明确修复范围、生态问题与重点工程，系统布局；二是坚持问题导向分类施策，因地制宜</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一矿一策</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对采矿区采用清理、平整、压实、覆土、栽种、保水、养护等工艺复层混交种植；三是因势利导多元融合，将煤矸石堆等固废石料评价后纳入县级公共资源交易平台公开出让，实现资源价值最大化；四是建立长效治理体系，按设计要求和验收规范实现质量管控闭环，同步启动施工监测机制，建立三方共管责任体系与差异化管护方案。项目实施后，植被覆盖率由30%提升至80%以上，新增耕地约161亩，清塘铺镇煤矸石5万余吨资源化利用年增净收益200余万元，消除矿区污染与安全隐患，提升60余万群众生态获得感。形成的分区适配技术包、全流程标准化模式、多元投入与收益反哺机制、</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县级统筹</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乡镇实施</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村社参与</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基层治理模式及</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生态</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产业路径，可复制推广至湖南乃至全国同类矿区。</w:t>
            </w:r>
          </w:p>
        </w:tc>
        <w:tc>
          <w:tcPr>
            <w:tcW w:w="1800" w:type="dxa"/>
            <w:vAlign w:val="center"/>
          </w:tcPr>
          <w:p w14:paraId="799E78E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矿山生态保护修复</w:t>
            </w:r>
          </w:p>
        </w:tc>
        <w:tc>
          <w:tcPr>
            <w:tcW w:w="1485" w:type="dxa"/>
            <w:vAlign w:val="center"/>
          </w:tcPr>
          <w:p w14:paraId="061C3CE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安化县自然资源局</w:t>
            </w:r>
          </w:p>
        </w:tc>
        <w:tc>
          <w:tcPr>
            <w:tcW w:w="1497" w:type="dxa"/>
            <w:vAlign w:val="center"/>
          </w:tcPr>
          <w:p w14:paraId="61564881">
            <w:pPr>
              <w:keepNext w:val="0"/>
              <w:keepLines w:val="0"/>
              <w:pageBreakBefore w:val="0"/>
              <w:widowControl/>
              <w:kinsoku/>
              <w:wordWrap/>
              <w:overflowPunct/>
              <w:topLinePunct w:val="0"/>
              <w:autoSpaceDE/>
              <w:autoSpaceDN/>
              <w:bidi w:val="0"/>
              <w:adjustRightInd/>
              <w:snapToGrid/>
              <w:jc w:val="left"/>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益阳市自然资源和规划局</w:t>
            </w:r>
          </w:p>
        </w:tc>
      </w:tr>
      <w:tr w14:paraId="52470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dxa"/>
            <w:vAlign w:val="center"/>
          </w:tcPr>
          <w:p w14:paraId="66897B16">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27</w:t>
            </w:r>
          </w:p>
        </w:tc>
        <w:tc>
          <w:tcPr>
            <w:tcW w:w="1946" w:type="dxa"/>
            <w:vAlign w:val="center"/>
          </w:tcPr>
          <w:p w14:paraId="7A18D4A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湘西南裸露山体差异化立体生态修复模式</w:t>
            </w:r>
          </w:p>
        </w:tc>
        <w:tc>
          <w:tcPr>
            <w:tcW w:w="6780" w:type="dxa"/>
            <w:vAlign w:val="center"/>
          </w:tcPr>
          <w:p w14:paraId="0CB90A5C">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vertAlign w:val="baseline"/>
              </w:rPr>
            </w:pPr>
            <w:r>
              <w:rPr>
                <w:rFonts w:hint="default" w:ascii="Times New Roman" w:hAnsi="Times New Roman" w:eastAsia="仿宋" w:cs="Times New Roman"/>
                <w:sz w:val="24"/>
                <w:szCs w:val="24"/>
                <w:vertAlign w:val="baseline"/>
              </w:rPr>
              <w:t>该成果针对湘西南炭质板岩山体裸露破碎、土质贫瘠偏酸、边坡滑坡坠石风险突出、水土流失严重，且植被复绿易出现草本压制灌木、景观杂乱、治理后管护乏力等突出问题。采用分步系统治理、分级精准施策的成套专项技术手段：一是开展边坡安全整治，全面清理危岩碎石，对45°以上破碎岩质坡面实施锚杆+镀锌铁丝网+主动防护网加固。二是开展土壤重构改良，按岩质坡、土石坡差异化控制基质厚度，搭配有机肥、保水剂、粘结剂改良土质、固土保水。三是实施差异化立体复绿，按坡度分类采用厚层基材喷播、鱼鳞坑穴植、三维网覆绿、藤本植生覆盖等工艺，优化灌木58%为主的种子配比，对硬壳种子热水破壳催芽，杜绝草本压制灌木，并结合道路功能搭配景观、经济苗木。经修复后，坡面植被覆盖率稳定达92%以上，边坡安全隐患清零，水土流失量下降85%，灌木出苗保存率提升至75%。该技术可有效修复受损山体、改善区域生态水环境，既保障了交通通行安全、提升了旅游廊道风貌，又依托经济林实现村集体增收，达成了生态提质、安全保障、产业增效的多重可持续治理成效。</w:t>
            </w:r>
          </w:p>
        </w:tc>
        <w:tc>
          <w:tcPr>
            <w:tcW w:w="1800" w:type="dxa"/>
            <w:vAlign w:val="center"/>
          </w:tcPr>
          <w:p w14:paraId="5F58DD04">
            <w:pPr>
              <w:keepNext w:val="0"/>
              <w:keepLines w:val="0"/>
              <w:pageBreakBefore w:val="0"/>
              <w:widowControl/>
              <w:kinsoku/>
              <w:wordWrap/>
              <w:overflowPunct/>
              <w:topLinePunct w:val="0"/>
              <w:autoSpaceDE/>
              <w:autoSpaceDN/>
              <w:bidi w:val="0"/>
              <w:adjustRightInd/>
              <w:snapToGrid/>
              <w:jc w:val="left"/>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sz w:val="24"/>
                <w:szCs w:val="24"/>
                <w:vertAlign w:val="baseline"/>
                <w:lang w:val="en-US" w:eastAsia="zh-CN"/>
              </w:rPr>
              <w:t>矿山生态保护修复</w:t>
            </w:r>
          </w:p>
        </w:tc>
        <w:tc>
          <w:tcPr>
            <w:tcW w:w="1485" w:type="dxa"/>
            <w:vAlign w:val="center"/>
          </w:tcPr>
          <w:p w14:paraId="50CDB0DA">
            <w:pPr>
              <w:keepNext w:val="0"/>
              <w:keepLines w:val="0"/>
              <w:pageBreakBefore w:val="0"/>
              <w:widowControl/>
              <w:kinsoku/>
              <w:wordWrap/>
              <w:overflowPunct/>
              <w:topLinePunct w:val="0"/>
              <w:autoSpaceDE/>
              <w:autoSpaceDN/>
              <w:bidi w:val="0"/>
              <w:adjustRightInd/>
              <w:snapToGrid/>
              <w:jc w:val="left"/>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sz w:val="24"/>
                <w:szCs w:val="24"/>
                <w:vertAlign w:val="baseline"/>
                <w:lang w:val="en-US" w:eastAsia="zh-CN"/>
              </w:rPr>
              <w:t>湖南天际岭建设工程有限公司</w:t>
            </w:r>
          </w:p>
        </w:tc>
        <w:tc>
          <w:tcPr>
            <w:tcW w:w="1497" w:type="dxa"/>
            <w:vAlign w:val="center"/>
          </w:tcPr>
          <w:p w14:paraId="1A568CE6">
            <w:pPr>
              <w:keepNext w:val="0"/>
              <w:keepLines w:val="0"/>
              <w:pageBreakBefore w:val="0"/>
              <w:widowControl/>
              <w:kinsoku/>
              <w:wordWrap/>
              <w:overflowPunct/>
              <w:topLinePunct w:val="0"/>
              <w:autoSpaceDE/>
              <w:autoSpaceDN/>
              <w:bidi w:val="0"/>
              <w:adjustRightInd/>
              <w:snapToGrid/>
              <w:jc w:val="left"/>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湖南省地质灾害防治与生态修复学会</w:t>
            </w:r>
          </w:p>
        </w:tc>
      </w:tr>
      <w:tr w14:paraId="2E95D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172" w:type="dxa"/>
            <w:gridSpan w:val="6"/>
            <w:vAlign w:val="center"/>
          </w:tcPr>
          <w:p w14:paraId="2A82AFCA">
            <w:pPr>
              <w:keepNext w:val="0"/>
              <w:keepLines w:val="0"/>
              <w:pageBreakBefore w:val="0"/>
              <w:widowControl/>
              <w:kinsoku/>
              <w:wordWrap/>
              <w:overflowPunct/>
              <w:topLinePunct w:val="0"/>
              <w:autoSpaceDE/>
              <w:autoSpaceDN/>
              <w:bidi w:val="0"/>
              <w:adjustRightInd/>
              <w:snapToGrid/>
              <w:jc w:val="center"/>
              <w:textAlignment w:val="auto"/>
              <w:rPr>
                <w:rFonts w:hint="default" w:ascii="Times New Roman" w:hAnsi="Times New Roman" w:eastAsia="仿宋" w:cs="Times New Roman"/>
                <w:sz w:val="24"/>
                <w:szCs w:val="24"/>
                <w:vertAlign w:val="baseline"/>
                <w:lang w:val="en-US" w:eastAsia="zh-CN"/>
              </w:rPr>
            </w:pPr>
            <w:r>
              <w:rPr>
                <w:rFonts w:hint="default" w:ascii="Times New Roman" w:hAnsi="Times New Roman" w:eastAsia="黑体" w:cs="Times New Roman"/>
                <w:sz w:val="24"/>
                <w:szCs w:val="24"/>
                <w:vertAlign w:val="baseline"/>
                <w:lang w:val="en-US" w:eastAsia="zh-CN"/>
              </w:rPr>
              <w:t>理论研究</w:t>
            </w:r>
          </w:p>
        </w:tc>
      </w:tr>
      <w:tr w14:paraId="5084D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dxa"/>
            <w:vAlign w:val="center"/>
          </w:tcPr>
          <w:p w14:paraId="7DACA51B">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28</w:t>
            </w:r>
          </w:p>
        </w:tc>
        <w:tc>
          <w:tcPr>
            <w:tcW w:w="1946" w:type="dxa"/>
            <w:vAlign w:val="center"/>
          </w:tcPr>
          <w:p w14:paraId="796D52F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典型有色金属污染矿区植物-微生物联合生态修复治理关键技术与应用</w:t>
            </w:r>
          </w:p>
        </w:tc>
        <w:tc>
          <w:tcPr>
            <w:tcW w:w="6780" w:type="dxa"/>
            <w:vAlign w:val="center"/>
          </w:tcPr>
          <w:p w14:paraId="3C8CA075">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vertAlign w:val="baseline"/>
              </w:rPr>
            </w:pPr>
            <w:r>
              <w:rPr>
                <w:rFonts w:hint="default" w:ascii="Times New Roman" w:hAnsi="Times New Roman" w:eastAsia="仿宋" w:cs="Times New Roman"/>
                <w:sz w:val="24"/>
                <w:szCs w:val="24"/>
                <w:vertAlign w:val="baseline"/>
              </w:rPr>
              <w:t>该技术针对典型有色金属污染矿区土壤重金属污染问题，筛选选育耐重金属微生物与植物，根据场地重金属污染特征研发微生物菌剂及多金属稳定化修复材料，阐明不同重金属在典型矿区复垦植物体内的累积规律及在耐受植物器官组织中的迁移、富集与毒理效应。基于不同植物生态位互补原则，通过综合种植红麻、东南景天等植物并配施微生物菌剂、生物型白炭黑功能材料，形成</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植物</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多孔硅基成矿化材料</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微生物</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联合修复技术，并对修复效果开展环境影响、生态风险及生态环境效益系统评估。修复体系具有成本低廉、无二次污染、修复速度快的特点。项目形成企业标准1项，申请发明专利9件（其中国际发明专利1件），发表论文10篇。</w:t>
            </w:r>
          </w:p>
        </w:tc>
        <w:tc>
          <w:tcPr>
            <w:tcW w:w="1800" w:type="dxa"/>
            <w:vAlign w:val="center"/>
          </w:tcPr>
          <w:p w14:paraId="15D72CEB">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其他与生态保护修复相关的创新性和普适性技术、方法、工艺、装备</w:t>
            </w:r>
          </w:p>
        </w:tc>
        <w:tc>
          <w:tcPr>
            <w:tcW w:w="1485" w:type="dxa"/>
            <w:vAlign w:val="center"/>
          </w:tcPr>
          <w:p w14:paraId="64001FF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lang w:eastAsia="zh-CN"/>
              </w:rPr>
            </w:pPr>
            <w:r>
              <w:rPr>
                <w:rFonts w:hint="eastAsia" w:ascii="仿宋" w:hAnsi="仿宋" w:eastAsia="仿宋" w:cs="仿宋"/>
                <w:i w:val="0"/>
                <w:iCs w:val="0"/>
                <w:color w:val="000000"/>
                <w:kern w:val="0"/>
                <w:sz w:val="24"/>
                <w:szCs w:val="24"/>
                <w:u w:val="none"/>
                <w:lang w:val="en-US" w:eastAsia="zh-CN" w:bidi="ar"/>
              </w:rPr>
              <w:t>湖南省地质地理信息所、</w:t>
            </w:r>
            <w:r>
              <w:rPr>
                <w:rFonts w:hint="eastAsia" w:ascii="Times New Roman" w:hAnsi="Times New Roman" w:eastAsia="仿宋" w:cs="Times New Roman"/>
                <w:kern w:val="0"/>
                <w:sz w:val="24"/>
              </w:rPr>
              <w:t>中南大学资源加工与生物工程学院</w:t>
            </w:r>
            <w:r>
              <w:rPr>
                <w:rFonts w:hint="eastAsia" w:ascii="Times New Roman" w:hAnsi="Times New Roman" w:eastAsia="仿宋" w:cs="Times New Roman"/>
                <w:kern w:val="0"/>
                <w:sz w:val="24"/>
                <w:lang w:eastAsia="zh-CN"/>
              </w:rPr>
              <w:t>、湖南省地信建设工程有限公司</w:t>
            </w:r>
          </w:p>
        </w:tc>
        <w:tc>
          <w:tcPr>
            <w:tcW w:w="1497" w:type="dxa"/>
            <w:vAlign w:val="center"/>
          </w:tcPr>
          <w:p w14:paraId="7AC8580D">
            <w:pPr>
              <w:keepNext w:val="0"/>
              <w:keepLines w:val="0"/>
              <w:pageBreakBefore w:val="0"/>
              <w:widowControl/>
              <w:kinsoku/>
              <w:wordWrap/>
              <w:overflowPunct/>
              <w:topLinePunct w:val="0"/>
              <w:autoSpaceDE/>
              <w:autoSpaceDN/>
              <w:bidi w:val="0"/>
              <w:adjustRightInd/>
              <w:snapToGrid/>
              <w:jc w:val="left"/>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湖南省地质院</w:t>
            </w:r>
          </w:p>
        </w:tc>
      </w:tr>
      <w:tr w14:paraId="70E68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dxa"/>
            <w:vAlign w:val="center"/>
          </w:tcPr>
          <w:p w14:paraId="47C5FF88">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29</w:t>
            </w:r>
          </w:p>
        </w:tc>
        <w:tc>
          <w:tcPr>
            <w:tcW w:w="1946" w:type="dxa"/>
            <w:vAlign w:val="center"/>
          </w:tcPr>
          <w:p w14:paraId="551F89E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sz w:val="24"/>
                <w:szCs w:val="24"/>
                <w:vertAlign w:val="baseline"/>
              </w:rPr>
              <w:t>湖南省山水林田湖草沙系统</w:t>
            </w:r>
            <w:r>
              <w:rPr>
                <w:rFonts w:hint="eastAsia" w:ascii="仿宋" w:hAnsi="仿宋" w:eastAsia="仿宋" w:cs="仿宋"/>
                <w:sz w:val="24"/>
                <w:szCs w:val="24"/>
                <w:vertAlign w:val="baseline"/>
                <w:lang w:val="en-US" w:eastAsia="zh-CN"/>
              </w:rPr>
              <w:t>固碳增汇</w:t>
            </w:r>
            <w:r>
              <w:rPr>
                <w:rFonts w:hint="eastAsia" w:ascii="仿宋" w:hAnsi="仿宋" w:eastAsia="仿宋" w:cs="仿宋"/>
                <w:sz w:val="24"/>
                <w:szCs w:val="24"/>
                <w:vertAlign w:val="baseline"/>
              </w:rPr>
              <w:t>修复</w:t>
            </w:r>
            <w:r>
              <w:rPr>
                <w:rFonts w:hint="eastAsia" w:ascii="仿宋" w:hAnsi="仿宋" w:eastAsia="仿宋" w:cs="仿宋"/>
                <w:sz w:val="24"/>
                <w:szCs w:val="24"/>
                <w:vertAlign w:val="baseline"/>
                <w:lang w:val="en-US" w:eastAsia="zh-CN"/>
              </w:rPr>
              <w:t>治理</w:t>
            </w:r>
            <w:r>
              <w:rPr>
                <w:rFonts w:hint="eastAsia" w:ascii="仿宋" w:hAnsi="仿宋" w:eastAsia="仿宋" w:cs="仿宋"/>
                <w:sz w:val="24"/>
                <w:szCs w:val="24"/>
                <w:vertAlign w:val="baseline"/>
              </w:rPr>
              <w:t>研究</w:t>
            </w:r>
          </w:p>
        </w:tc>
        <w:tc>
          <w:tcPr>
            <w:tcW w:w="6780" w:type="dxa"/>
            <w:vAlign w:val="center"/>
          </w:tcPr>
          <w:p w14:paraId="56708B9D">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vertAlign w:val="baseline"/>
              </w:rPr>
            </w:pPr>
            <w:r>
              <w:rPr>
                <w:rFonts w:hint="default" w:ascii="Times New Roman" w:hAnsi="Times New Roman" w:eastAsia="仿宋" w:cs="Times New Roman"/>
                <w:sz w:val="24"/>
                <w:szCs w:val="24"/>
                <w:vertAlign w:val="baseline"/>
              </w:rPr>
              <w:t>该研究聚焦湖南省山水林田湖草沙系统退化与土壤侵蚀碳流失联动问题，在湖南典型山水林田湖草沙系统内选取坡面</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沟道</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农田</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河道联通空间，探明水土流失与碳流失耦合规律，摸清低质低效林生态服务功能退化机制，揭示系统内多要素对固碳增汇修复的调控机理。研究通过InVEST、DNDC等过程模型模拟，揭示多生态单元碳循环耦合过程与协同增汇机制，构建适配碳汇精准估算模型，量化湖南全域林碳储量本底值；进而构建山水林田湖草沙系统内水土流失阻控、保土增汇的生态功能协同一体化修复理论框架，并在洞庭湖流域和湘江流域2个典型区域建立示范区，形成可推广的系统固碳增汇修复治理理论模式，为湖南生态修复实践提供理论支撑。研究已累计发表学术论文20余篇，形成专项技术报告2个、地方标准1项（征求意见稿）。</w:t>
            </w:r>
          </w:p>
        </w:tc>
        <w:tc>
          <w:tcPr>
            <w:tcW w:w="1800" w:type="dxa"/>
            <w:vAlign w:val="center"/>
          </w:tcPr>
          <w:p w14:paraId="6331D1A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生态系统碳汇监测</w:t>
            </w:r>
          </w:p>
        </w:tc>
        <w:tc>
          <w:tcPr>
            <w:tcW w:w="1485" w:type="dxa"/>
            <w:vAlign w:val="center"/>
          </w:tcPr>
          <w:p w14:paraId="769CB19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中南林业科技大学</w:t>
            </w:r>
            <w:r>
              <w:rPr>
                <w:rFonts w:hint="eastAsia" w:ascii="仿宋" w:hAnsi="仿宋" w:eastAsia="仿宋" w:cs="仿宋"/>
                <w:sz w:val="24"/>
                <w:szCs w:val="24"/>
                <w:vertAlign w:val="baseline"/>
                <w:lang w:val="en-US" w:eastAsia="zh-CN"/>
              </w:rPr>
              <w:t>水土保持学院</w:t>
            </w:r>
          </w:p>
        </w:tc>
        <w:tc>
          <w:tcPr>
            <w:tcW w:w="1497" w:type="dxa"/>
            <w:vAlign w:val="center"/>
          </w:tcPr>
          <w:p w14:paraId="049E94C8">
            <w:pPr>
              <w:keepNext w:val="0"/>
              <w:keepLines w:val="0"/>
              <w:pageBreakBefore w:val="0"/>
              <w:widowControl/>
              <w:kinsoku/>
              <w:wordWrap/>
              <w:overflowPunct/>
              <w:topLinePunct w:val="0"/>
              <w:autoSpaceDE/>
              <w:autoSpaceDN/>
              <w:bidi w:val="0"/>
              <w:adjustRightInd/>
              <w:snapToGrid/>
              <w:jc w:val="left"/>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中南林业科技大学</w:t>
            </w:r>
          </w:p>
        </w:tc>
      </w:tr>
      <w:tr w14:paraId="3B60B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dxa"/>
            <w:vAlign w:val="center"/>
          </w:tcPr>
          <w:p w14:paraId="079EA753">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30</w:t>
            </w:r>
          </w:p>
        </w:tc>
        <w:tc>
          <w:tcPr>
            <w:tcW w:w="1946" w:type="dxa"/>
            <w:vAlign w:val="center"/>
          </w:tcPr>
          <w:p w14:paraId="61315C3E">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区域森林生态资产的价值评估、时空演变与结构优化-以长沙市为例</w:t>
            </w:r>
          </w:p>
        </w:tc>
        <w:tc>
          <w:tcPr>
            <w:tcW w:w="6780" w:type="dxa"/>
            <w:vAlign w:val="center"/>
          </w:tcPr>
          <w:p w14:paraId="3B7C70B1">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vertAlign w:val="baseline"/>
              </w:rPr>
            </w:pPr>
            <w:r>
              <w:rPr>
                <w:rFonts w:hint="default" w:ascii="Times New Roman" w:hAnsi="Times New Roman" w:eastAsia="仿宋" w:cs="Times New Roman"/>
                <w:sz w:val="24"/>
                <w:szCs w:val="24"/>
                <w:vertAlign w:val="baseline"/>
              </w:rPr>
              <w:t>本成果立足湖南国土空间生态修复实际需求，以长沙市森林生态资产为研究对象，紧扣区域森林生态保护与可持续利用核心目标，遵循</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理论基础</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价值评估</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演变特征</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演变机理</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结构优化</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保障体系</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完整框架，构建逻辑严密、贴合实际的研究体系，为湖南同类区域森林生态修复与生态资产高效配置提供科学支撑。研究以生态资产价值评估、生态资产演变及可持续发展理论为基础，综合运用统计数理分析、时空对比分析、模型模拟分析等方法，整合灰色GM (1,1)、修正耦合度、主成分分析、改良STIRPAT、多目标优化等多种模型，并结合Moran指数、半变异函数、敏感度指数CS模型等工具，系统开展全方位研究。研究表明，1980</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2017年长沙市森林生态资产综合价值由243.9亿元增长至983.11亿元，增长3.03倍，但林分、功能、空间结构存在明显非均衡性；时序上经历4个经营时期，生态</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自然</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经济</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社会复合系统耦合协调度持续上升，空间上集聚度低、异质性强；价值演变由内源动力与外部驱动共同作用，年均降雨量与价值量正相关、年均气温负相关；坚持</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生态效应优先、质量优先</w:t>
            </w:r>
            <w:r>
              <w:rPr>
                <w:rFonts w:hint="default" w:ascii="Times New Roman" w:hAnsi="Times New Roman" w:eastAsia="仿宋" w:cs="Times New Roman"/>
                <w:sz w:val="24"/>
                <w:szCs w:val="24"/>
                <w:vertAlign w:val="baseline"/>
                <w:lang w:eastAsia="zh-CN"/>
              </w:rPr>
              <w:t>”</w:t>
            </w:r>
            <w:r>
              <w:rPr>
                <w:rFonts w:hint="default" w:ascii="Times New Roman" w:hAnsi="Times New Roman" w:eastAsia="仿宋" w:cs="Times New Roman"/>
                <w:sz w:val="24"/>
                <w:szCs w:val="24"/>
                <w:vertAlign w:val="baseline"/>
              </w:rPr>
              <w:t>原则优化结构后，2020</w:t>
            </w:r>
            <w:r>
              <w:rPr>
                <w:rFonts w:hint="default" w:ascii="Times New Roman" w:hAnsi="Times New Roman" w:eastAsia="仿宋" w:cs="Times New Roman"/>
                <w:sz w:val="24"/>
                <w:szCs w:val="24"/>
                <w:vertAlign w:val="baseline"/>
                <w:lang w:val="en-US" w:eastAsia="zh-CN"/>
              </w:rPr>
              <w:t>-</w:t>
            </w:r>
            <w:r>
              <w:rPr>
                <w:rFonts w:hint="default" w:ascii="Times New Roman" w:hAnsi="Times New Roman" w:eastAsia="仿宋" w:cs="Times New Roman"/>
                <w:sz w:val="24"/>
                <w:szCs w:val="24"/>
                <w:vertAlign w:val="baseline"/>
              </w:rPr>
              <w:t>2035年单位面积价值量可提升86.88%。成果构建涵盖价值理念、现代制度、人才支撑、外部助力、合作共赢的多维度长效保障体系，为区域森林生态资产可持续经营提供决策依据。</w:t>
            </w:r>
          </w:p>
        </w:tc>
        <w:tc>
          <w:tcPr>
            <w:tcW w:w="1800" w:type="dxa"/>
            <w:vAlign w:val="center"/>
          </w:tcPr>
          <w:p w14:paraId="0894E0C7">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生态保护修复成效评估</w:t>
            </w:r>
          </w:p>
        </w:tc>
        <w:tc>
          <w:tcPr>
            <w:tcW w:w="1485" w:type="dxa"/>
            <w:vAlign w:val="center"/>
          </w:tcPr>
          <w:p w14:paraId="21D25174">
            <w:pPr>
              <w:keepNext w:val="0"/>
              <w:keepLines w:val="0"/>
              <w:pageBreakBefore w:val="0"/>
              <w:widowControl/>
              <w:kinsoku/>
              <w:wordWrap/>
              <w:overflowPunct/>
              <w:topLinePunct w:val="0"/>
              <w:autoSpaceDE/>
              <w:autoSpaceDN/>
              <w:bidi w:val="0"/>
              <w:adjustRightInd/>
              <w:snapToGrid/>
              <w:jc w:val="left"/>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中南林业科技大学</w:t>
            </w:r>
          </w:p>
        </w:tc>
        <w:tc>
          <w:tcPr>
            <w:tcW w:w="1497" w:type="dxa"/>
            <w:vAlign w:val="center"/>
          </w:tcPr>
          <w:p w14:paraId="54783AB0">
            <w:pPr>
              <w:keepNext w:val="0"/>
              <w:keepLines w:val="0"/>
              <w:pageBreakBefore w:val="0"/>
              <w:widowControl/>
              <w:kinsoku/>
              <w:wordWrap/>
              <w:overflowPunct/>
              <w:topLinePunct w:val="0"/>
              <w:autoSpaceDE/>
              <w:autoSpaceDN/>
              <w:bidi w:val="0"/>
              <w:adjustRightInd/>
              <w:snapToGrid/>
              <w:jc w:val="left"/>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中南林业科技大学</w:t>
            </w:r>
          </w:p>
        </w:tc>
      </w:tr>
      <w:tr w14:paraId="042E7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4" w:type="dxa"/>
            <w:vAlign w:val="center"/>
          </w:tcPr>
          <w:p w14:paraId="7A909D54">
            <w:pPr>
              <w:keepNext w:val="0"/>
              <w:keepLines w:val="0"/>
              <w:pageBreakBefore w:val="0"/>
              <w:widowControl/>
              <w:kinsoku/>
              <w:wordWrap/>
              <w:overflowPunct/>
              <w:topLinePunct w:val="0"/>
              <w:autoSpaceDE/>
              <w:autoSpaceDN/>
              <w:bidi w:val="0"/>
              <w:adjustRightInd/>
              <w:snapToGrid/>
              <w:jc w:val="center"/>
              <w:rPr>
                <w:rFonts w:hint="default" w:ascii="Times New Roman" w:hAnsi="Times New Roman" w:cs="Times New Roman"/>
                <w:sz w:val="24"/>
                <w:szCs w:val="24"/>
                <w:vertAlign w:val="baseline"/>
                <w:lang w:val="en-US" w:eastAsia="zh-CN"/>
              </w:rPr>
            </w:pPr>
            <w:r>
              <w:rPr>
                <w:rFonts w:hint="eastAsia" w:ascii="Times New Roman" w:hAnsi="Times New Roman" w:cs="Times New Roman"/>
                <w:sz w:val="24"/>
                <w:szCs w:val="24"/>
                <w:vertAlign w:val="baseline"/>
                <w:lang w:val="en-US" w:eastAsia="zh-CN"/>
              </w:rPr>
              <w:t>31</w:t>
            </w:r>
          </w:p>
        </w:tc>
        <w:tc>
          <w:tcPr>
            <w:tcW w:w="1946" w:type="dxa"/>
            <w:vAlign w:val="center"/>
          </w:tcPr>
          <w:p w14:paraId="5B98077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sz w:val="24"/>
              </w:rPr>
              <w:t>农田镉</w:t>
            </w:r>
            <w:r>
              <w:rPr>
                <w:rFonts w:ascii="仿宋" w:hAnsi="仿宋" w:eastAsia="仿宋" w:cs="仿宋"/>
                <w:sz w:val="24"/>
              </w:rPr>
              <w:t>污染生态修复关键技术及应用</w:t>
            </w:r>
          </w:p>
        </w:tc>
        <w:tc>
          <w:tcPr>
            <w:tcW w:w="6780" w:type="dxa"/>
            <w:vAlign w:val="center"/>
          </w:tcPr>
          <w:p w14:paraId="0E42CF7E">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eastAsia="仿宋" w:cs="Times New Roman"/>
                <w:sz w:val="24"/>
                <w:szCs w:val="24"/>
                <w:vertAlign w:val="baseline"/>
              </w:rPr>
            </w:pPr>
            <w:r>
              <w:rPr>
                <w:rFonts w:hint="default" w:ascii="Times New Roman" w:hAnsi="Times New Roman" w:eastAsia="仿宋" w:cs="Times New Roman"/>
                <w:sz w:val="24"/>
              </w:rPr>
              <w:t>本成果针对农田土壤镉污染和水稻镉富集风险高等问题，构建了降镉功能微生物调控、Fe-Mn改性生物炭钝化及土壤微生态协同恢复的绿色修复技术体系。通过从水稻种子内生菌中分离筛选耐镉且吸附镉的菌株，经形态、生理生化和分子鉴定获得耐镉内生菌</w:t>
            </w:r>
            <w:r>
              <w:rPr>
                <w:rFonts w:hint="default" w:ascii="Times New Roman" w:hAnsi="Times New Roman" w:eastAsia="仿宋" w:cs="Times New Roman"/>
                <w:i/>
                <w:iCs/>
                <w:sz w:val="24"/>
              </w:rPr>
              <w:t>Herbaspirillum</w:t>
            </w:r>
            <w:r>
              <w:rPr>
                <w:rFonts w:hint="default" w:ascii="Times New Roman" w:hAnsi="Times New Roman" w:eastAsia="仿宋" w:cs="Times New Roman"/>
                <w:sz w:val="24"/>
              </w:rPr>
              <w:t xml:space="preserve"> sp. R3，并制备为活菌菌剂。R3通过调节水稻根际微生态及根系镉吸收转运，降低水稻地上部镉累积；Fe-Mn改性生物炭通过吸附、络合、沉淀和调节pH降低土壤镉有效性。田间示范表明，两种修复技术使水稻根、茎、叶和籽粒镉含量降低17.24%</w:t>
            </w:r>
            <w:r>
              <w:rPr>
                <w:rFonts w:hint="default" w:ascii="Times New Roman" w:hAnsi="Times New Roman" w:eastAsia="仿宋" w:cs="Times New Roman"/>
                <w:sz w:val="24"/>
                <w:szCs w:val="24"/>
                <w:vertAlign w:val="baseline"/>
              </w:rPr>
              <w:t>～</w:t>
            </w:r>
            <w:r>
              <w:rPr>
                <w:rFonts w:hint="default" w:ascii="Times New Roman" w:hAnsi="Times New Roman" w:eastAsia="仿宋" w:cs="Times New Roman"/>
                <w:sz w:val="24"/>
              </w:rPr>
              <w:t>49.28%，其中R3菌剂优化改善了土壤生态功能，Fe-Mn改性生物炭使土壤有效</w:t>
            </w:r>
            <w:bookmarkStart w:id="5" w:name="_GoBack"/>
            <w:bookmarkEnd w:id="5"/>
            <w:r>
              <w:rPr>
                <w:rFonts w:hint="default" w:ascii="Times New Roman" w:hAnsi="Times New Roman" w:eastAsia="仿宋" w:cs="Times New Roman"/>
                <w:sz w:val="24"/>
              </w:rPr>
              <w:t>态镉降低51.61%。本成果已获授权国家发明专利1项，发表与本成果相关的JCR一区SCI论文4篇，为镉污染耕地安全利用与生态修复提供了绿色技术支撑。</w:t>
            </w:r>
          </w:p>
        </w:tc>
        <w:tc>
          <w:tcPr>
            <w:tcW w:w="1800" w:type="dxa"/>
            <w:vAlign w:val="center"/>
          </w:tcPr>
          <w:p w14:paraId="7036E1B5">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仿宋" w:hAnsi="仿宋" w:eastAsia="仿宋" w:cs="仿宋"/>
                <w:sz w:val="24"/>
                <w:szCs w:val="24"/>
                <w:vertAlign w:val="baseline"/>
              </w:rPr>
            </w:pPr>
            <w:r>
              <w:rPr>
                <w:rFonts w:hint="eastAsia" w:ascii="仿宋" w:hAnsi="仿宋" w:eastAsia="仿宋" w:cs="仿宋"/>
                <w:i w:val="0"/>
                <w:iCs w:val="0"/>
                <w:color w:val="000000"/>
                <w:kern w:val="0"/>
                <w:sz w:val="24"/>
                <w:szCs w:val="24"/>
                <w:u w:val="none"/>
                <w:lang w:val="en-US" w:eastAsia="zh-CN" w:bidi="ar"/>
              </w:rPr>
              <w:t>土壤生态保护修复（含土壤退化治理与污染防控）</w:t>
            </w:r>
          </w:p>
        </w:tc>
        <w:tc>
          <w:tcPr>
            <w:tcW w:w="1485" w:type="dxa"/>
            <w:vAlign w:val="center"/>
          </w:tcPr>
          <w:p w14:paraId="5AE6303F">
            <w:pPr>
              <w:keepNext w:val="0"/>
              <w:keepLines w:val="0"/>
              <w:pageBreakBefore w:val="0"/>
              <w:widowControl/>
              <w:kinsoku/>
              <w:wordWrap/>
              <w:overflowPunct/>
              <w:topLinePunct w:val="0"/>
              <w:autoSpaceDE/>
              <w:autoSpaceDN/>
              <w:bidi w:val="0"/>
              <w:adjustRightInd/>
              <w:snapToGrid/>
              <w:jc w:val="left"/>
              <w:rPr>
                <w:rFonts w:hint="default"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湖南农业大学农学院</w:t>
            </w:r>
          </w:p>
        </w:tc>
        <w:tc>
          <w:tcPr>
            <w:tcW w:w="1497" w:type="dxa"/>
            <w:vAlign w:val="center"/>
          </w:tcPr>
          <w:p w14:paraId="26688815">
            <w:pPr>
              <w:keepNext w:val="0"/>
              <w:keepLines w:val="0"/>
              <w:pageBreakBefore w:val="0"/>
              <w:widowControl/>
              <w:kinsoku/>
              <w:wordWrap/>
              <w:overflowPunct/>
              <w:topLinePunct w:val="0"/>
              <w:autoSpaceDE/>
              <w:autoSpaceDN/>
              <w:bidi w:val="0"/>
              <w:adjustRightInd/>
              <w:snapToGrid/>
              <w:jc w:val="left"/>
              <w:rPr>
                <w:rFonts w:hint="eastAsia" w:ascii="仿宋" w:hAnsi="仿宋" w:eastAsia="仿宋" w:cs="仿宋"/>
                <w:sz w:val="24"/>
                <w:szCs w:val="24"/>
                <w:vertAlign w:val="baseline"/>
              </w:rPr>
            </w:pPr>
            <w:r>
              <w:rPr>
                <w:rFonts w:hint="eastAsia" w:ascii="仿宋" w:hAnsi="仿宋" w:eastAsia="仿宋" w:cs="仿宋"/>
                <w:sz w:val="24"/>
                <w:szCs w:val="24"/>
                <w:vertAlign w:val="baseline"/>
                <w:lang w:val="en-US" w:eastAsia="zh-CN"/>
              </w:rPr>
              <w:t>湖南农业大学</w:t>
            </w:r>
          </w:p>
        </w:tc>
      </w:tr>
    </w:tbl>
    <w:p w14:paraId="09CE2E6D"/>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C1838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2026-08-12T00:29:26Z</dcterms:created>
  <dc:creator>Administrator</dc:creator>
  <cp:lastModifiedBy>liangl8816</cp:lastModifiedBy>
  <dcterms:modified xsi:type="dcterms:W3CDTF">2026-08-12T00:30:30Z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eyJoZGlkIjoiNWNmNmMwN2Y5NmVhMGNhODk4OTU4ZWEwMjk4ZGJkYjAiLCJ1c2VySWQiOiIxMjEyODM2Nzk1In0=</vt:lpwstr>
  </property>
  <property fmtid="{D5CDD505-2E9C-101B-9397-08002B2CF9AE}" pid="4" name="ICV">
    <vt:lpwstr>F813CA22F8224F6281E4A79FE4D47A17_12</vt:lpwstr>
  </property>
</Properties>
</file>