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98040">
      <w:pPr>
        <w:jc w:val="center"/>
        <w:rPr>
          <w:rFonts w:hint="default" w:ascii="Times New Roman" w:hAnsi="Times New Roman" w:eastAsia="方正小标宋_GBK" w:cs="Times New Roman"/>
          <w:sz w:val="44"/>
          <w:szCs w:val="44"/>
        </w:rPr>
      </w:pPr>
      <w:bookmarkStart w:id="0" w:name="quanwen"/>
      <w:bookmarkStart w:id="9" w:name="_GoBack"/>
      <w:r>
        <w:rPr>
          <w:rFonts w:hint="default" w:ascii="Times New Roman" w:hAnsi="Times New Roman" w:eastAsia="方正小标宋_GBK" w:cs="Times New Roman"/>
          <w:sz w:val="44"/>
          <w:szCs w:val="44"/>
        </w:rPr>
        <w:t>湖南省自然资源厅202</w:t>
      </w:r>
      <w:r>
        <w:rPr>
          <w:rFonts w:hint="default" w:eastAsia="方正小标宋_GBK" w:cs="Times New Roman"/>
          <w:sz w:val="44"/>
          <w:szCs w:val="44"/>
          <w:lang w:val="en-US" w:eastAsia="zh-CN"/>
        </w:rPr>
        <w:t>6</w:t>
      </w:r>
      <w:r>
        <w:rPr>
          <w:rFonts w:hint="default" w:ascii="Times New Roman" w:hAnsi="Times New Roman" w:eastAsia="方正小标宋_GBK" w:cs="Times New Roman"/>
          <w:sz w:val="44"/>
          <w:szCs w:val="44"/>
        </w:rPr>
        <w:t>年度涉企行政检查计划</w:t>
      </w:r>
    </w:p>
    <w:bookmarkEnd w:id="9"/>
    <w:p w14:paraId="572711F0">
      <w:pPr>
        <w:jc w:val="center"/>
        <w:rPr>
          <w:rFonts w:hint="default" w:ascii="Times New Roman" w:hAnsi="Times New Roman" w:eastAsia="方正小标宋_GBK" w:cs="Times New Roman"/>
          <w:sz w:val="44"/>
          <w:szCs w:val="44"/>
        </w:rPr>
      </w:pPr>
    </w:p>
    <w:tbl>
      <w:tblPr>
        <w:tblStyle w:val="131"/>
        <w:tblW w:w="5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811"/>
        <w:gridCol w:w="7650"/>
        <w:gridCol w:w="1708"/>
        <w:gridCol w:w="1560"/>
        <w:gridCol w:w="814"/>
        <w:gridCol w:w="704"/>
        <w:gridCol w:w="462"/>
        <w:gridCol w:w="765"/>
        <w:gridCol w:w="730"/>
        <w:gridCol w:w="462"/>
      </w:tblGrid>
      <w:tr w14:paraId="472A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blHeader/>
          <w:jc w:val="center"/>
        </w:trPr>
        <w:tc>
          <w:tcPr>
            <w:tcW w:w="143" w:type="pct"/>
            <w:vAlign w:val="center"/>
          </w:tcPr>
          <w:p w14:paraId="352D324F">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序号</w:t>
            </w:r>
          </w:p>
        </w:tc>
        <w:tc>
          <w:tcPr>
            <w:tcW w:w="251" w:type="pct"/>
            <w:vAlign w:val="center"/>
          </w:tcPr>
          <w:p w14:paraId="7B69B8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检查</w:t>
            </w:r>
          </w:p>
          <w:p w14:paraId="0037D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事项</w:t>
            </w:r>
          </w:p>
        </w:tc>
        <w:tc>
          <w:tcPr>
            <w:tcW w:w="2369" w:type="pct"/>
            <w:vAlign w:val="center"/>
          </w:tcPr>
          <w:p w14:paraId="64C3C7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实施依据</w:t>
            </w:r>
          </w:p>
        </w:tc>
        <w:tc>
          <w:tcPr>
            <w:tcW w:w="529" w:type="pct"/>
            <w:vAlign w:val="center"/>
          </w:tcPr>
          <w:p w14:paraId="13E94B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具体检查对象(含数量)或</w:t>
            </w:r>
          </w:p>
          <w:p w14:paraId="34502D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“双随机”抽查对象（含总数及比例）</w:t>
            </w:r>
          </w:p>
        </w:tc>
        <w:tc>
          <w:tcPr>
            <w:tcW w:w="483" w:type="pct"/>
            <w:vAlign w:val="center"/>
          </w:tcPr>
          <w:p w14:paraId="3EB9A4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检查内容</w:t>
            </w:r>
          </w:p>
          <w:p w14:paraId="234529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（项目）</w:t>
            </w:r>
          </w:p>
        </w:tc>
        <w:tc>
          <w:tcPr>
            <w:tcW w:w="252" w:type="pct"/>
            <w:shd w:val="clear" w:color="auto" w:fill="auto"/>
            <w:vAlign w:val="center"/>
          </w:tcPr>
          <w:p w14:paraId="21BF9F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拟实施检查时间</w:t>
            </w:r>
          </w:p>
        </w:tc>
        <w:tc>
          <w:tcPr>
            <w:tcW w:w="218" w:type="pct"/>
            <w:vAlign w:val="center"/>
          </w:tcPr>
          <w:p w14:paraId="5A58C2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检查</w:t>
            </w:r>
          </w:p>
          <w:p w14:paraId="6693F1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方式</w:t>
            </w:r>
          </w:p>
        </w:tc>
        <w:tc>
          <w:tcPr>
            <w:tcW w:w="143" w:type="pct"/>
            <w:vAlign w:val="center"/>
          </w:tcPr>
          <w:p w14:paraId="149B58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年度检查频次</w:t>
            </w:r>
          </w:p>
        </w:tc>
        <w:tc>
          <w:tcPr>
            <w:tcW w:w="237" w:type="pct"/>
            <w:vAlign w:val="center"/>
          </w:tcPr>
          <w:p w14:paraId="0BB4F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承办机构</w:t>
            </w:r>
          </w:p>
        </w:tc>
        <w:tc>
          <w:tcPr>
            <w:tcW w:w="226" w:type="pct"/>
            <w:vAlign w:val="center"/>
          </w:tcPr>
          <w:p w14:paraId="085F4E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是否属于跨部门联合检查</w:t>
            </w:r>
          </w:p>
        </w:tc>
        <w:tc>
          <w:tcPr>
            <w:tcW w:w="143" w:type="pct"/>
            <w:vAlign w:val="center"/>
          </w:tcPr>
          <w:p w14:paraId="36D2C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备注</w:t>
            </w:r>
          </w:p>
        </w:tc>
      </w:tr>
      <w:tr w14:paraId="5B8A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43" w:type="pct"/>
            <w:vAlign w:val="center"/>
          </w:tcPr>
          <w:p w14:paraId="18D303CB">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highlight w:val="none"/>
                <w:lang w:eastAsia="zh-CN"/>
              </w:rPr>
            </w:pPr>
            <w:r>
              <w:rPr>
                <w:rFonts w:hint="default" w:cs="Times New Roman"/>
                <w:color w:val="auto"/>
                <w:sz w:val="22"/>
                <w:szCs w:val="22"/>
                <w:highlight w:val="none"/>
                <w:lang w:val="en-US" w:eastAsia="zh-CN"/>
              </w:rPr>
              <w:t>1</w:t>
            </w:r>
          </w:p>
        </w:tc>
        <w:tc>
          <w:tcPr>
            <w:tcW w:w="251" w:type="pct"/>
            <w:vAlign w:val="center"/>
          </w:tcPr>
          <w:p w14:paraId="1C69BBE0">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sz w:val="22"/>
                <w:szCs w:val="22"/>
                <w:highlight w:val="none"/>
              </w:rPr>
              <w:t>对土地估价行业的行政检查</w:t>
            </w:r>
          </w:p>
        </w:tc>
        <w:tc>
          <w:tcPr>
            <w:tcW w:w="2369" w:type="pct"/>
            <w:vAlign w:val="center"/>
          </w:tcPr>
          <w:p w14:paraId="399C505F">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sz w:val="22"/>
                <w:szCs w:val="22"/>
                <w:highlight w:val="none"/>
                <w:vertAlign w:val="baseline"/>
              </w:rPr>
            </w:pPr>
            <w:r>
              <w:rPr>
                <w:rFonts w:hint="default" w:ascii="Times New Roman" w:hAnsi="Times New Roman" w:eastAsia="宋体" w:cs="Times New Roman"/>
                <w:color w:val="auto"/>
                <w:sz w:val="22"/>
                <w:szCs w:val="22"/>
                <w:highlight w:val="none"/>
              </w:rPr>
              <w:t>1.《资产评估法》第十七条：评估机构应当依法独立、客观、公正开展业务，建立健全质量控制制度，保证评估报告的客观、真实、合理。</w:t>
            </w:r>
            <w:bookmarkStart w:id="1" w:name="No74_Z3T17K2"/>
            <w:bookmarkEnd w:id="1"/>
          </w:p>
          <w:p w14:paraId="005B7A7E">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sz w:val="22"/>
                <w:szCs w:val="22"/>
                <w:highlight w:val="none"/>
                <w:vertAlign w:val="baseline"/>
              </w:rPr>
            </w:pPr>
            <w:bookmarkStart w:id="2" w:name="OLE_LINK2"/>
            <w:r>
              <w:rPr>
                <w:rFonts w:hint="default" w:ascii="Times New Roman" w:hAnsi="Times New Roman" w:eastAsia="宋体" w:cs="Times New Roman"/>
                <w:color w:val="auto"/>
                <w:sz w:val="22"/>
                <w:szCs w:val="22"/>
                <w:highlight w:val="none"/>
              </w:rPr>
              <w:t>评估机构应当建立健全内部管理制度，对本机构的评估专业人员遵守法律、行政法规和评估准则的情况进行监督，并对其从业行为负责</w:t>
            </w:r>
            <w:bookmarkEnd w:id="2"/>
            <w:r>
              <w:rPr>
                <w:rFonts w:hint="default" w:ascii="Times New Roman" w:hAnsi="Times New Roman" w:eastAsia="宋体" w:cs="Times New Roman"/>
                <w:color w:val="auto"/>
                <w:sz w:val="22"/>
                <w:szCs w:val="22"/>
                <w:highlight w:val="none"/>
              </w:rPr>
              <w:t>。</w:t>
            </w:r>
          </w:p>
          <w:p w14:paraId="494C69D3">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sz w:val="22"/>
                <w:szCs w:val="22"/>
                <w:highlight w:val="none"/>
                <w:vertAlign w:val="baseline"/>
              </w:rPr>
            </w:pPr>
            <w:r>
              <w:rPr>
                <w:rFonts w:hint="default" w:ascii="Times New Roman" w:hAnsi="Times New Roman" w:eastAsia="宋体" w:cs="Times New Roman"/>
                <w:color w:val="auto"/>
                <w:sz w:val="22"/>
                <w:szCs w:val="22"/>
                <w:highlight w:val="none"/>
              </w:rPr>
              <w:t>评</w:t>
            </w:r>
            <w:bookmarkStart w:id="3" w:name="OLE_LINK3"/>
            <w:r>
              <w:rPr>
                <w:rFonts w:hint="default" w:ascii="Times New Roman" w:hAnsi="Times New Roman" w:eastAsia="宋体" w:cs="Times New Roman"/>
                <w:color w:val="auto"/>
                <w:sz w:val="22"/>
                <w:szCs w:val="22"/>
                <w:highlight w:val="none"/>
              </w:rPr>
              <w:t>估机构应当依法接受监督检查，如实提供评估档案以及相关情况</w:t>
            </w:r>
            <w:bookmarkEnd w:id="3"/>
            <w:r>
              <w:rPr>
                <w:rFonts w:hint="default" w:ascii="Times New Roman" w:hAnsi="Times New Roman" w:eastAsia="宋体" w:cs="Times New Roman"/>
                <w:color w:val="auto"/>
                <w:sz w:val="22"/>
                <w:szCs w:val="22"/>
                <w:highlight w:val="none"/>
              </w:rPr>
              <w:t>。</w:t>
            </w:r>
          </w:p>
          <w:p w14:paraId="1A5E17FE">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sz w:val="22"/>
                <w:szCs w:val="22"/>
                <w:highlight w:val="none"/>
                <w:vertAlign w:val="baseline"/>
              </w:rPr>
            </w:pPr>
            <w:r>
              <w:rPr>
                <w:rFonts w:hint="default" w:ascii="Times New Roman" w:hAnsi="Times New Roman" w:eastAsia="宋体" w:cs="Times New Roman"/>
                <w:color w:val="auto"/>
                <w:sz w:val="22"/>
                <w:szCs w:val="22"/>
                <w:highlight w:val="none"/>
              </w:rPr>
              <w:t>2.《资产评估法》第四十一条：</w:t>
            </w:r>
            <w:bookmarkStart w:id="4" w:name="No154_Z6T41K1"/>
            <w:bookmarkEnd w:id="4"/>
            <w:r>
              <w:rPr>
                <w:rFonts w:hint="default" w:ascii="Times New Roman" w:hAnsi="Times New Roman" w:eastAsia="宋体" w:cs="Times New Roman"/>
                <w:color w:val="auto"/>
                <w:sz w:val="22"/>
                <w:szCs w:val="22"/>
                <w:highlight w:val="none"/>
              </w:rPr>
              <w:t>评估行政管理部门对有关评估行业协会实施监督检查，对检查发现的问题和针对协会的投诉、举报，应当及时调查处理。</w:t>
            </w:r>
          </w:p>
          <w:p w14:paraId="48B66FDE">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sz w:val="22"/>
                <w:szCs w:val="22"/>
                <w:highlight w:val="none"/>
                <w:vertAlign w:val="baseline"/>
              </w:rPr>
            </w:pPr>
            <w:r>
              <w:rPr>
                <w:rFonts w:hint="default" w:ascii="Times New Roman" w:hAnsi="Times New Roman" w:eastAsia="宋体" w:cs="Times New Roman"/>
                <w:color w:val="auto"/>
                <w:sz w:val="22"/>
                <w:szCs w:val="22"/>
                <w:highlight w:val="none"/>
              </w:rPr>
              <w:t>3.《自然资源部办公厅关于印发〈土地估价行业监督管理规范〉的通知》（自然资办发〔2024〕54号）第五条：（三）监督管理本行政区域内的土地估价行为，组织实施本行政区域内土地估价行业“双随机、一公开”监督检查等监管事项。</w:t>
            </w:r>
          </w:p>
        </w:tc>
        <w:tc>
          <w:tcPr>
            <w:tcW w:w="529" w:type="pct"/>
            <w:vAlign w:val="center"/>
          </w:tcPr>
          <w:p w14:paraId="4CD0CF62">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从155家土地估价机构</w:t>
            </w:r>
            <w:r>
              <w:rPr>
                <w:rFonts w:hint="default" w:ascii="Times New Roman" w:hAnsi="Times New Roman" w:cs="Times New Roman"/>
                <w:color w:val="auto"/>
                <w:sz w:val="22"/>
                <w:szCs w:val="22"/>
                <w:highlight w:val="none"/>
                <w:lang w:eastAsia="zh-CN"/>
              </w:rPr>
              <w:t>、</w:t>
            </w:r>
            <w:r>
              <w:rPr>
                <w:rFonts w:hint="default" w:cs="Times New Roman"/>
                <w:color w:val="auto"/>
                <w:sz w:val="22"/>
                <w:szCs w:val="22"/>
                <w:highlight w:val="none"/>
                <w:lang w:val="en-US" w:eastAsia="zh-CN"/>
              </w:rPr>
              <w:t>1083</w:t>
            </w:r>
            <w:r>
              <w:rPr>
                <w:rFonts w:hint="default" w:ascii="Times New Roman" w:hAnsi="Times New Roman" w:eastAsia="宋体" w:cs="Times New Roman"/>
                <w:color w:val="auto"/>
                <w:sz w:val="22"/>
                <w:szCs w:val="22"/>
                <w:highlight w:val="none"/>
              </w:rPr>
              <w:t>名执业估价师及省土地估价行业协会</w:t>
            </w:r>
            <w:r>
              <w:rPr>
                <w:rFonts w:hint="default" w:ascii="Times New Roman" w:hAnsi="Times New Roman" w:cs="Times New Roman"/>
                <w:color w:val="auto"/>
                <w:sz w:val="22"/>
                <w:szCs w:val="22"/>
                <w:highlight w:val="none"/>
                <w:lang w:val="en-US" w:eastAsia="zh-CN"/>
              </w:rPr>
              <w:t>中</w:t>
            </w:r>
            <w:r>
              <w:rPr>
                <w:rFonts w:hint="default" w:ascii="Times New Roman" w:hAnsi="Times New Roman" w:cs="Times New Roman"/>
                <w:color w:val="auto"/>
                <w:sz w:val="22"/>
                <w:szCs w:val="22"/>
                <w:highlight w:val="none"/>
                <w:lang w:eastAsia="zh-CN"/>
              </w:rPr>
              <w:t>，</w:t>
            </w:r>
            <w:r>
              <w:rPr>
                <w:rFonts w:hint="default" w:ascii="Times New Roman" w:hAnsi="Times New Roman" w:cs="Times New Roman"/>
                <w:color w:val="auto"/>
                <w:sz w:val="22"/>
                <w:szCs w:val="22"/>
                <w:highlight w:val="none"/>
                <w:lang w:val="en-US" w:eastAsia="zh-CN"/>
              </w:rPr>
              <w:t>按</w:t>
            </w:r>
            <w:r>
              <w:rPr>
                <w:rFonts w:hint="default" w:ascii="Times New Roman" w:hAnsi="Times New Roman" w:eastAsia="宋体" w:cs="Times New Roman"/>
                <w:color w:val="auto"/>
                <w:sz w:val="22"/>
                <w:szCs w:val="22"/>
                <w:highlight w:val="none"/>
              </w:rPr>
              <w:t>各类被检查对象的2%</w:t>
            </w:r>
            <w:r>
              <w:rPr>
                <w:rFonts w:hint="default" w:ascii="Times New Roman" w:hAnsi="Times New Roman"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5%确定。</w:t>
            </w:r>
          </w:p>
        </w:tc>
        <w:tc>
          <w:tcPr>
            <w:tcW w:w="483" w:type="pct"/>
            <w:vAlign w:val="center"/>
          </w:tcPr>
          <w:p w14:paraId="3CEC5BB5">
            <w:pPr>
              <w:keepNext w:val="0"/>
              <w:keepLines w:val="0"/>
              <w:pageBreakBefore w:val="0"/>
              <w:widowControl/>
              <w:suppressLineNumbers w:val="0"/>
              <w:kinsoku/>
              <w:wordWrap/>
              <w:overflowPunct/>
              <w:topLinePunct w:val="0"/>
              <w:bidi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土地估价专业的评估师执业情况、土地评估机构执业情况、土地估价行业协会履责情况。</w:t>
            </w:r>
          </w:p>
        </w:tc>
        <w:tc>
          <w:tcPr>
            <w:tcW w:w="252" w:type="pct"/>
            <w:shd w:val="clear" w:color="auto" w:fill="auto"/>
            <w:vAlign w:val="center"/>
          </w:tcPr>
          <w:p w14:paraId="525549ED">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sz w:val="22"/>
                <w:szCs w:val="22"/>
                <w:highlight w:val="none"/>
              </w:rPr>
              <w:t>5—12月</w:t>
            </w:r>
          </w:p>
        </w:tc>
        <w:tc>
          <w:tcPr>
            <w:tcW w:w="218" w:type="pct"/>
            <w:vAlign w:val="center"/>
          </w:tcPr>
          <w:p w14:paraId="1CF603B2">
            <w:pPr>
              <w:keepNext w:val="0"/>
              <w:keepLines w:val="0"/>
              <w:pageBreakBefore w:val="0"/>
              <w:widowControl/>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线上“无扰”检查与现场检查相结合</w:t>
            </w:r>
          </w:p>
        </w:tc>
        <w:tc>
          <w:tcPr>
            <w:tcW w:w="143" w:type="pct"/>
            <w:vAlign w:val="center"/>
          </w:tcPr>
          <w:p w14:paraId="4A24891A">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w:t>
            </w:r>
          </w:p>
        </w:tc>
        <w:tc>
          <w:tcPr>
            <w:tcW w:w="237" w:type="pct"/>
            <w:vAlign w:val="center"/>
          </w:tcPr>
          <w:p w14:paraId="77F8E75D">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自然资源开发利用处</w:t>
            </w:r>
          </w:p>
        </w:tc>
        <w:tc>
          <w:tcPr>
            <w:tcW w:w="226" w:type="pct"/>
            <w:vAlign w:val="center"/>
          </w:tcPr>
          <w:p w14:paraId="6CD2A50B">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highlight w:val="none"/>
                <w:lang w:eastAsia="zh-CN"/>
              </w:rPr>
            </w:pPr>
            <w:r>
              <w:rPr>
                <w:rFonts w:hint="default" w:ascii="Times New Roman" w:hAnsi="Times New Roman" w:cs="Times New Roman"/>
                <w:color w:val="auto"/>
                <w:sz w:val="22"/>
                <w:szCs w:val="22"/>
                <w:highlight w:val="none"/>
                <w:lang w:eastAsia="zh-CN"/>
              </w:rPr>
              <w:t>否</w:t>
            </w:r>
          </w:p>
        </w:tc>
        <w:tc>
          <w:tcPr>
            <w:tcW w:w="143" w:type="pct"/>
            <w:shd w:val="clear" w:color="auto" w:fill="auto"/>
            <w:vAlign w:val="center"/>
          </w:tcPr>
          <w:p w14:paraId="04D78E82">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textAlignment w:val="auto"/>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双随机抽查</w:t>
            </w:r>
          </w:p>
        </w:tc>
      </w:tr>
      <w:tr w14:paraId="48B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43" w:type="pct"/>
            <w:vAlign w:val="center"/>
          </w:tcPr>
          <w:p w14:paraId="0B0E8F7C">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lang w:eastAsia="zh-CN"/>
              </w:rPr>
            </w:pPr>
            <w:r>
              <w:rPr>
                <w:rFonts w:hint="default" w:cs="Times New Roman"/>
                <w:color w:val="auto"/>
                <w:sz w:val="22"/>
                <w:szCs w:val="22"/>
                <w:lang w:val="en-US" w:eastAsia="zh-CN"/>
              </w:rPr>
              <w:t>2</w:t>
            </w:r>
          </w:p>
        </w:tc>
        <w:tc>
          <w:tcPr>
            <w:tcW w:w="251" w:type="pct"/>
            <w:vAlign w:val="center"/>
          </w:tcPr>
          <w:p w14:paraId="45C8EEAD">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对矿山生态修复的行政检查</w:t>
            </w:r>
          </w:p>
        </w:tc>
        <w:tc>
          <w:tcPr>
            <w:tcW w:w="2369" w:type="pct"/>
            <w:vAlign w:val="center"/>
          </w:tcPr>
          <w:p w14:paraId="2CD5A636">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《矿山地质环境保护规定》（国土资源部令第44号）第二十二条：县级以上自然资源主管部门对采矿权人履行矿山地质环境保护与土地复垦义务的情况进行监督检查。</w:t>
            </w:r>
          </w:p>
        </w:tc>
        <w:tc>
          <w:tcPr>
            <w:tcW w:w="529" w:type="pct"/>
            <w:vAlign w:val="center"/>
          </w:tcPr>
          <w:p w14:paraId="31A92639">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firstLine="223" w:firstLineChars="10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从全省932家采矿权人中，按自然资源部通知要求比例进行抽查检查。</w:t>
            </w:r>
          </w:p>
        </w:tc>
        <w:tc>
          <w:tcPr>
            <w:tcW w:w="483" w:type="pct"/>
            <w:vAlign w:val="center"/>
          </w:tcPr>
          <w:p w14:paraId="0A66F084">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采矿权人履行生态保护修复义务的情况。</w:t>
            </w:r>
          </w:p>
        </w:tc>
        <w:tc>
          <w:tcPr>
            <w:tcW w:w="252" w:type="pct"/>
            <w:shd w:val="clear" w:color="auto" w:fill="auto"/>
            <w:vAlign w:val="center"/>
          </w:tcPr>
          <w:p w14:paraId="5DFB87F1">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4—12月</w:t>
            </w:r>
          </w:p>
        </w:tc>
        <w:tc>
          <w:tcPr>
            <w:tcW w:w="218" w:type="pct"/>
            <w:vAlign w:val="center"/>
          </w:tcPr>
          <w:p w14:paraId="41ACAA67">
            <w:pPr>
              <w:keepNext w:val="0"/>
              <w:keepLines w:val="0"/>
              <w:pageBreakBefore w:val="0"/>
              <w:widowControl/>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现场检查</w:t>
            </w:r>
          </w:p>
        </w:tc>
        <w:tc>
          <w:tcPr>
            <w:tcW w:w="143" w:type="pct"/>
            <w:vAlign w:val="center"/>
          </w:tcPr>
          <w:p w14:paraId="79AD823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1</w:t>
            </w:r>
          </w:p>
        </w:tc>
        <w:tc>
          <w:tcPr>
            <w:tcW w:w="237" w:type="pct"/>
            <w:vAlign w:val="center"/>
          </w:tcPr>
          <w:p w14:paraId="21E6671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国土空间生态</w:t>
            </w:r>
          </w:p>
          <w:p w14:paraId="4742AAE8">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 xml:space="preserve">修复处 </w:t>
            </w:r>
          </w:p>
        </w:tc>
        <w:tc>
          <w:tcPr>
            <w:tcW w:w="226" w:type="pct"/>
            <w:vAlign w:val="center"/>
          </w:tcPr>
          <w:p w14:paraId="7DB2AE93">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lang w:eastAsia="zh-CN"/>
              </w:rPr>
            </w:pPr>
            <w:r>
              <w:rPr>
                <w:rFonts w:hint="default" w:ascii="Times New Roman" w:hAnsi="Times New Roman" w:cs="Times New Roman"/>
                <w:color w:val="auto"/>
                <w:sz w:val="22"/>
                <w:szCs w:val="22"/>
                <w:lang w:eastAsia="zh-CN"/>
              </w:rPr>
              <w:t>否</w:t>
            </w:r>
          </w:p>
        </w:tc>
        <w:tc>
          <w:tcPr>
            <w:tcW w:w="143" w:type="pct"/>
            <w:shd w:val="clear" w:color="auto" w:fill="auto"/>
            <w:vAlign w:val="center"/>
          </w:tcPr>
          <w:p w14:paraId="38A654DE">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双随机抽查</w:t>
            </w:r>
          </w:p>
        </w:tc>
      </w:tr>
      <w:tr w14:paraId="470E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43" w:type="pct"/>
            <w:vAlign w:val="center"/>
          </w:tcPr>
          <w:p w14:paraId="37DC9C04">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cs="Times New Roman"/>
                <w:color w:val="auto"/>
                <w:sz w:val="22"/>
                <w:szCs w:val="22"/>
                <w:lang w:val="en-US" w:eastAsia="zh-CN"/>
              </w:rPr>
            </w:pPr>
            <w:r>
              <w:rPr>
                <w:rFonts w:hint="default" w:cs="Times New Roman"/>
                <w:color w:val="auto"/>
                <w:sz w:val="22"/>
                <w:szCs w:val="22"/>
                <w:lang w:val="en-US" w:eastAsia="zh-CN"/>
              </w:rPr>
              <w:t>3</w:t>
            </w:r>
          </w:p>
        </w:tc>
        <w:tc>
          <w:tcPr>
            <w:tcW w:w="251" w:type="pct"/>
            <w:shd w:val="clear" w:color="auto" w:fill="auto"/>
            <w:vAlign w:val="center"/>
          </w:tcPr>
          <w:p w14:paraId="03932212">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color w:val="auto"/>
                <w:kern w:val="0"/>
                <w:sz w:val="22"/>
                <w:szCs w:val="22"/>
                <w:lang w:val="en-US" w:eastAsia="zh-CN" w:bidi="ar-SA"/>
              </w:rPr>
            </w:pPr>
            <w:r>
              <w:rPr>
                <w:rFonts w:hint="default" w:ascii="Times New Roman" w:hAnsi="Times New Roman" w:eastAsia="宋体" w:cs="Times New Roman"/>
                <w:color w:val="auto"/>
                <w:sz w:val="22"/>
                <w:szCs w:val="22"/>
              </w:rPr>
              <w:t>对地质灾害防治资质单位从业活动的行政检查</w:t>
            </w:r>
          </w:p>
        </w:tc>
        <w:tc>
          <w:tcPr>
            <w:tcW w:w="2369" w:type="pct"/>
            <w:shd w:val="clear" w:color="auto" w:fill="auto"/>
            <w:vAlign w:val="center"/>
          </w:tcPr>
          <w:p w14:paraId="4D78D1DB">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1.《地质灾害防治单位资质管理办法》（自然资源部令第8号）第二十六条：省级人民政府自然资源主管部门应当按照“双随机、一公开”监管要求，采取随机摇号的方式，按照不低于百分之十的比例确定抽查的地质灾害防治单位，组织对地质灾害防治单位资质情况和从事地质灾害防治活动情况进行监督检查。</w:t>
            </w:r>
          </w:p>
          <w:p w14:paraId="53C3091B">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leftChars="0" w:right="0" w:rightChars="0" w:firstLine="223" w:firstLineChars="100"/>
              <w:jc w:val="both"/>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sz w:val="22"/>
                <w:szCs w:val="22"/>
              </w:rPr>
              <w:t>2.《地质灾害防治单位资质管理办法》（自然资源部令第8号）第二十七条：</w:t>
            </w:r>
            <w:bookmarkStart w:id="5" w:name="OLE_LINK4"/>
            <w:r>
              <w:rPr>
                <w:rFonts w:hint="default" w:ascii="Times New Roman" w:hAnsi="Times New Roman" w:eastAsia="宋体" w:cs="Times New Roman"/>
                <w:color w:val="auto"/>
                <w:sz w:val="22"/>
                <w:szCs w:val="22"/>
              </w:rPr>
              <w:t>省级人民政府自然资源主管部门负责本行政区域内地质灾害防治单位资质情况的监督管理，重点对地质灾害防治单位的专业技术人员、项目业绩真实性、质量安全管理体系等情况进行检查</w:t>
            </w:r>
            <w:bookmarkEnd w:id="5"/>
            <w:r>
              <w:rPr>
                <w:rFonts w:hint="default" w:ascii="Times New Roman" w:hAnsi="Times New Roman" w:eastAsia="宋体" w:cs="Times New Roman"/>
                <w:color w:val="auto"/>
                <w:sz w:val="22"/>
                <w:szCs w:val="22"/>
              </w:rPr>
              <w:t>。</w:t>
            </w:r>
          </w:p>
        </w:tc>
        <w:tc>
          <w:tcPr>
            <w:tcW w:w="529" w:type="pct"/>
            <w:shd w:val="clear" w:color="auto" w:fill="auto"/>
            <w:vAlign w:val="center"/>
          </w:tcPr>
          <w:p w14:paraId="17A00445">
            <w:pPr>
              <w:keepNext w:val="0"/>
              <w:keepLines w:val="0"/>
              <w:pageBreakBefore w:val="0"/>
              <w:suppressLineNumbers w:val="0"/>
              <w:kinsoku/>
              <w:wordWrap/>
              <w:overflowPunct/>
              <w:topLinePunct w:val="0"/>
              <w:bidi w:val="0"/>
              <w:snapToGrid/>
              <w:spacing w:before="0" w:beforeAutospacing="0" w:after="0" w:afterAutospacing="0" w:line="240" w:lineRule="exact"/>
              <w:ind w:left="0" w:leftChars="0" w:right="0" w:rightChars="0" w:firstLine="223" w:firstLineChars="100"/>
              <w:jc w:val="left"/>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sz w:val="22"/>
                <w:szCs w:val="22"/>
              </w:rPr>
              <w:t>从110家地质灾害防治资质单位中，抽取不低于10%检查。</w:t>
            </w:r>
          </w:p>
        </w:tc>
        <w:tc>
          <w:tcPr>
            <w:tcW w:w="483" w:type="pct"/>
            <w:shd w:val="clear" w:color="auto" w:fill="auto"/>
            <w:vAlign w:val="center"/>
          </w:tcPr>
          <w:p w14:paraId="500C140C">
            <w:pPr>
              <w:keepNext w:val="0"/>
              <w:keepLines w:val="0"/>
              <w:pageBreakBefore w:val="0"/>
              <w:suppressLineNumbers w:val="0"/>
              <w:kinsoku/>
              <w:wordWrap/>
              <w:overflowPunct/>
              <w:topLinePunct w:val="0"/>
              <w:bidi w:val="0"/>
              <w:snapToGrid/>
              <w:spacing w:before="0" w:beforeAutospacing="0" w:after="0" w:afterAutospacing="0" w:line="240" w:lineRule="exact"/>
              <w:ind w:left="0" w:leftChars="0" w:right="0" w:rightChars="0"/>
              <w:jc w:val="left"/>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kern w:val="0"/>
                <w:sz w:val="22"/>
                <w:szCs w:val="22"/>
              </w:rPr>
              <w:t>资质条件匹配情况、地质灾害防治活动合法合规情况、地质灾害防治工程质量情况，以及违约或被投诉举报情况等。</w:t>
            </w:r>
          </w:p>
        </w:tc>
        <w:tc>
          <w:tcPr>
            <w:tcW w:w="252" w:type="pct"/>
            <w:shd w:val="clear" w:color="auto" w:fill="auto"/>
            <w:vAlign w:val="center"/>
          </w:tcPr>
          <w:p w14:paraId="7B5E2F28">
            <w:pPr>
              <w:keepNext w:val="0"/>
              <w:keepLines w:val="0"/>
              <w:pageBreakBefore w:val="0"/>
              <w:suppressLineNumbers w:val="0"/>
              <w:kinsoku/>
              <w:wordWrap/>
              <w:overflowPunct/>
              <w:topLinePunct w:val="0"/>
              <w:bidi w:val="0"/>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color w:val="auto"/>
                <w:kern w:val="0"/>
                <w:sz w:val="22"/>
                <w:szCs w:val="22"/>
                <w:lang w:val="en-US" w:eastAsia="zh-CN" w:bidi="ar-SA"/>
              </w:rPr>
            </w:pPr>
            <w:r>
              <w:rPr>
                <w:rFonts w:hint="default" w:ascii="Times New Roman" w:hAnsi="Times New Roman" w:eastAsia="宋体" w:cs="Times New Roman"/>
                <w:color w:val="auto"/>
                <w:sz w:val="22"/>
                <w:szCs w:val="22"/>
              </w:rPr>
              <w:t>4—10月</w:t>
            </w:r>
          </w:p>
        </w:tc>
        <w:tc>
          <w:tcPr>
            <w:tcW w:w="218" w:type="pct"/>
            <w:shd w:val="clear" w:color="auto" w:fill="auto"/>
            <w:vAlign w:val="center"/>
          </w:tcPr>
          <w:p w14:paraId="3D5EF4F7">
            <w:pPr>
              <w:keepNext w:val="0"/>
              <w:keepLines w:val="0"/>
              <w:pageBreakBefore w:val="0"/>
              <w:widowControl/>
              <w:suppressLineNumbers w:val="0"/>
              <w:kinsoku/>
              <w:wordWrap/>
              <w:overflowPunct/>
              <w:topLinePunct w:val="0"/>
              <w:bidi w:val="0"/>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sz w:val="22"/>
                <w:szCs w:val="22"/>
              </w:rPr>
              <w:t>现场检查与非现场检查相结合</w:t>
            </w:r>
          </w:p>
        </w:tc>
        <w:tc>
          <w:tcPr>
            <w:tcW w:w="143" w:type="pct"/>
            <w:shd w:val="clear" w:color="auto" w:fill="auto"/>
            <w:vAlign w:val="center"/>
          </w:tcPr>
          <w:p w14:paraId="2967BB79">
            <w:pPr>
              <w:keepNext w:val="0"/>
              <w:keepLines w:val="0"/>
              <w:pageBreakBefore w:val="0"/>
              <w:suppressLineNumbers w:val="0"/>
              <w:kinsoku/>
              <w:wordWrap/>
              <w:overflowPunct/>
              <w:topLinePunct w:val="0"/>
              <w:bidi w:val="0"/>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sz w:val="22"/>
                <w:szCs w:val="22"/>
              </w:rPr>
              <w:t>1</w:t>
            </w:r>
          </w:p>
        </w:tc>
        <w:tc>
          <w:tcPr>
            <w:tcW w:w="237" w:type="pct"/>
            <w:shd w:val="clear" w:color="auto" w:fill="auto"/>
            <w:vAlign w:val="center"/>
          </w:tcPr>
          <w:p w14:paraId="7BEE83B6">
            <w:pPr>
              <w:keepNext w:val="0"/>
              <w:keepLines w:val="0"/>
              <w:pageBreakBefore w:val="0"/>
              <w:suppressLineNumbers w:val="0"/>
              <w:kinsoku/>
              <w:wordWrap/>
              <w:overflowPunct/>
              <w:topLinePunct w:val="0"/>
              <w:bidi w:val="0"/>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sz w:val="22"/>
                <w:szCs w:val="22"/>
              </w:rPr>
              <w:t>地质勘查管理处</w:t>
            </w:r>
          </w:p>
        </w:tc>
        <w:tc>
          <w:tcPr>
            <w:tcW w:w="226" w:type="pct"/>
            <w:shd w:val="clear" w:color="auto" w:fill="auto"/>
            <w:vAlign w:val="center"/>
          </w:tcPr>
          <w:p w14:paraId="7978346D">
            <w:pPr>
              <w:keepNext w:val="0"/>
              <w:keepLines w:val="0"/>
              <w:pageBreakBefore w:val="0"/>
              <w:suppressLineNumbers w:val="0"/>
              <w:kinsoku/>
              <w:wordWrap/>
              <w:overflowPunct/>
              <w:topLinePunct w:val="0"/>
              <w:bidi w:val="0"/>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cs="Times New Roman"/>
                <w:color w:val="auto"/>
                <w:sz w:val="22"/>
                <w:szCs w:val="22"/>
                <w:lang w:eastAsia="zh-CN"/>
              </w:rPr>
              <w:t>否</w:t>
            </w:r>
          </w:p>
        </w:tc>
        <w:tc>
          <w:tcPr>
            <w:tcW w:w="143" w:type="pct"/>
            <w:shd w:val="clear" w:color="auto" w:fill="auto"/>
            <w:vAlign w:val="center"/>
          </w:tcPr>
          <w:p w14:paraId="747B0E4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leftChars="0" w:right="0" w:rightChars="0"/>
              <w:textAlignment w:val="auto"/>
              <w:rPr>
                <w:rFonts w:hint="default" w:ascii="Times New Roman" w:hAnsi="Times New Roman" w:eastAsia="宋体" w:cs="Times New Roman"/>
                <w:color w:val="auto"/>
                <w:kern w:val="0"/>
                <w:sz w:val="22"/>
                <w:szCs w:val="22"/>
                <w:lang w:val="en-US" w:eastAsia="zh-CN" w:bidi="ar-SA"/>
              </w:rPr>
            </w:pPr>
            <w:r>
              <w:rPr>
                <w:rFonts w:hint="default" w:ascii="Times New Roman" w:hAnsi="Times New Roman" w:eastAsia="宋体" w:cs="Times New Roman"/>
                <w:color w:val="auto"/>
                <w:kern w:val="0"/>
                <w:sz w:val="22"/>
                <w:szCs w:val="22"/>
              </w:rPr>
              <w:t>双随机抽查</w:t>
            </w:r>
          </w:p>
        </w:tc>
      </w:tr>
      <w:tr w14:paraId="06D4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jc w:val="center"/>
        </w:trPr>
        <w:tc>
          <w:tcPr>
            <w:tcW w:w="143" w:type="pct"/>
            <w:vAlign w:val="center"/>
          </w:tcPr>
          <w:p w14:paraId="0EB85BCF">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lang w:eastAsia="zh-CN"/>
              </w:rPr>
            </w:pPr>
            <w:r>
              <w:rPr>
                <w:rFonts w:hint="default" w:cs="Times New Roman"/>
                <w:color w:val="auto"/>
                <w:sz w:val="22"/>
                <w:szCs w:val="22"/>
                <w:lang w:val="en-US" w:eastAsia="zh-CN"/>
              </w:rPr>
              <w:t>4</w:t>
            </w:r>
          </w:p>
        </w:tc>
        <w:tc>
          <w:tcPr>
            <w:tcW w:w="251" w:type="pct"/>
            <w:shd w:val="clear" w:color="auto" w:fill="auto"/>
            <w:vAlign w:val="center"/>
          </w:tcPr>
          <w:p w14:paraId="22F2E13C">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对矿业权人勘查开采信息公示的行政检查</w:t>
            </w:r>
          </w:p>
        </w:tc>
        <w:tc>
          <w:tcPr>
            <w:tcW w:w="2369" w:type="pct"/>
            <w:shd w:val="clear" w:color="auto" w:fill="auto"/>
            <w:vAlign w:val="center"/>
          </w:tcPr>
          <w:p w14:paraId="3BA5481A">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highlight w:val="none"/>
                <w:vertAlign w:val="baseline"/>
              </w:rPr>
            </w:pPr>
            <w:r>
              <w:rPr>
                <w:rFonts w:hint="default" w:ascii="Times New Roman" w:hAnsi="Times New Roman" w:eastAsia="宋体" w:cs="Times New Roman"/>
                <w:color w:val="auto"/>
                <w:sz w:val="22"/>
                <w:szCs w:val="22"/>
              </w:rPr>
              <w:t>1.</w:t>
            </w:r>
            <w:r>
              <w:rPr>
                <w:rFonts w:hint="default" w:ascii="Times New Roman" w:hAnsi="Times New Roman" w:eastAsia="宋体" w:cs="Times New Roman"/>
                <w:color w:val="auto"/>
                <w:sz w:val="22"/>
                <w:szCs w:val="22"/>
                <w:highlight w:val="none"/>
              </w:rPr>
              <w:t>《中华人民共和国矿产资源法》（2024版）第五十六条：县级以上人民政府自然资源主管部门和其他有关部门应当按照职责分工，加强对矿产资源勘查、开采和矿区生态修复等活动的监督检查，依法及时查处违法行为。</w:t>
            </w:r>
          </w:p>
          <w:p w14:paraId="7D7AE2C1">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highlight w:val="none"/>
              </w:rPr>
              <w:t>上级人民</w:t>
            </w:r>
            <w:r>
              <w:rPr>
                <w:rFonts w:hint="default" w:ascii="Times New Roman" w:hAnsi="Times New Roman" w:eastAsia="宋体" w:cs="Times New Roman"/>
                <w:color w:val="auto"/>
                <w:sz w:val="22"/>
                <w:szCs w:val="22"/>
              </w:rPr>
              <w:t>政府</w:t>
            </w:r>
            <w:r>
              <w:rPr>
                <w:rFonts w:hint="default" w:ascii="Times New Roman" w:hAnsi="Times New Roman" w:eastAsia="宋体" w:cs="Times New Roman"/>
                <w:color w:val="auto"/>
                <w:sz w:val="22"/>
                <w:szCs w:val="22"/>
                <w:highlight w:val="none"/>
              </w:rPr>
              <w:t>自然资源主管部门和其他有关部门应当加强对下级人民政府自然资源主管部门和其他有关部门执法活动的监督。</w:t>
            </w:r>
          </w:p>
          <w:p w14:paraId="63850A24">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2.《湖南省矿产资源管理条例》第六条：各级人民政府应当加强本行政区域内矿产资源勘查、开采的管理，依法维护矿业秩序，保护矿产资源，促进矿业发展。</w:t>
            </w:r>
          </w:p>
          <w:p w14:paraId="01D77151">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bookmarkStart w:id="6" w:name="OLE_LINK5"/>
            <w:r>
              <w:rPr>
                <w:rFonts w:hint="default" w:ascii="Times New Roman" w:hAnsi="Times New Roman" w:eastAsia="宋体" w:cs="Times New Roman"/>
                <w:color w:val="auto"/>
                <w:sz w:val="22"/>
                <w:szCs w:val="22"/>
              </w:rPr>
              <w:t>县级以上人民政府地质矿产主管部门负责本行政区域内矿产资源勘查、开采的监督管理工作；其他有关主管部门按照各自的职责负责矿产资源勘查、开采的有关监督管理工作</w:t>
            </w:r>
            <w:bookmarkEnd w:id="6"/>
            <w:r>
              <w:rPr>
                <w:rFonts w:hint="default" w:ascii="Times New Roman" w:hAnsi="Times New Roman" w:eastAsia="宋体" w:cs="Times New Roman"/>
                <w:color w:val="auto"/>
                <w:sz w:val="22"/>
                <w:szCs w:val="22"/>
              </w:rPr>
              <w:t>。</w:t>
            </w:r>
          </w:p>
          <w:p w14:paraId="3FEF8238">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3.《矿业权人勘查开采信息管理办法》（自然资源部令第13号）第十一条：省级以上人民政府自然资源主管部门可以按照“双随机、一公开”监管要求，随机抽取一定比例的勘查项目和矿山，制定核查方案并组织实施矿业权人勘查开采信息公示情况核查工作。</w:t>
            </w:r>
          </w:p>
        </w:tc>
        <w:tc>
          <w:tcPr>
            <w:tcW w:w="529" w:type="pct"/>
            <w:shd w:val="clear" w:color="auto" w:fill="auto"/>
            <w:vAlign w:val="center"/>
          </w:tcPr>
          <w:p w14:paraId="1F81C2C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firstLine="223" w:firstLineChars="10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从</w:t>
            </w:r>
            <w:r>
              <w:rPr>
                <w:rFonts w:hint="default" w:cs="Times New Roman"/>
                <w:color w:val="auto"/>
                <w:kern w:val="0"/>
                <w:sz w:val="22"/>
                <w:szCs w:val="22"/>
                <w:lang w:val="en-US" w:eastAsia="zh-CN"/>
              </w:rPr>
              <w:t>864</w:t>
            </w:r>
            <w:r>
              <w:rPr>
                <w:rFonts w:hint="default" w:ascii="Times New Roman" w:hAnsi="Times New Roman" w:eastAsia="宋体" w:cs="Times New Roman"/>
                <w:color w:val="auto"/>
                <w:kern w:val="0"/>
                <w:sz w:val="22"/>
                <w:szCs w:val="22"/>
              </w:rPr>
              <w:t>家采矿权人、</w:t>
            </w:r>
            <w:r>
              <w:rPr>
                <w:rFonts w:hint="default" w:cs="Times New Roman"/>
                <w:color w:val="auto"/>
                <w:kern w:val="0"/>
                <w:sz w:val="22"/>
                <w:szCs w:val="22"/>
                <w:lang w:val="en-US" w:eastAsia="zh-CN"/>
              </w:rPr>
              <w:t>193</w:t>
            </w:r>
            <w:r>
              <w:rPr>
                <w:rFonts w:hint="default" w:ascii="Times New Roman" w:hAnsi="Times New Roman" w:eastAsia="宋体" w:cs="Times New Roman"/>
                <w:color w:val="auto"/>
                <w:kern w:val="0"/>
                <w:sz w:val="22"/>
                <w:szCs w:val="22"/>
              </w:rPr>
              <w:t>家探矿权人中，抽取1</w:t>
            </w:r>
            <w:r>
              <w:rPr>
                <w:rFonts w:hint="default" w:cs="Times New Roman"/>
                <w:color w:val="auto"/>
                <w:kern w:val="0"/>
                <w:sz w:val="22"/>
                <w:szCs w:val="22"/>
                <w:lang w:val="en-US" w:eastAsia="zh-CN"/>
              </w:rPr>
              <w:t>2</w:t>
            </w:r>
            <w:r>
              <w:rPr>
                <w:rFonts w:hint="default" w:ascii="Times New Roman" w:hAnsi="Times New Roman" w:eastAsia="宋体" w:cs="Times New Roman"/>
                <w:color w:val="auto"/>
                <w:kern w:val="0"/>
                <w:sz w:val="22"/>
                <w:szCs w:val="22"/>
              </w:rPr>
              <w:t>%检查。</w:t>
            </w:r>
          </w:p>
        </w:tc>
        <w:tc>
          <w:tcPr>
            <w:tcW w:w="483" w:type="pct"/>
            <w:shd w:val="clear" w:color="auto" w:fill="auto"/>
            <w:vAlign w:val="center"/>
          </w:tcPr>
          <w:p w14:paraId="0E129C53">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探矿权基本信息、履行义务、当年度探矿权勘查投资、核算及完成的主要实物工作量及投入技术力量情况等。采矿权基本信息、履行义务和矿产资源合理开发利用指标情况等。</w:t>
            </w:r>
          </w:p>
        </w:tc>
        <w:tc>
          <w:tcPr>
            <w:tcW w:w="252" w:type="pct"/>
            <w:shd w:val="clear" w:color="auto" w:fill="auto"/>
            <w:vAlign w:val="center"/>
          </w:tcPr>
          <w:p w14:paraId="1A165337">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4—10月</w:t>
            </w:r>
          </w:p>
        </w:tc>
        <w:tc>
          <w:tcPr>
            <w:tcW w:w="218" w:type="pct"/>
            <w:shd w:val="clear" w:color="auto" w:fill="auto"/>
            <w:vAlign w:val="center"/>
          </w:tcPr>
          <w:p w14:paraId="26FDA6DF">
            <w:pPr>
              <w:keepNext w:val="0"/>
              <w:keepLines w:val="0"/>
              <w:pageBreakBefore w:val="0"/>
              <w:widowControl/>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现场检查与非现场检查相结合</w:t>
            </w:r>
          </w:p>
        </w:tc>
        <w:tc>
          <w:tcPr>
            <w:tcW w:w="143" w:type="pct"/>
            <w:shd w:val="clear" w:color="auto" w:fill="auto"/>
            <w:vAlign w:val="center"/>
          </w:tcPr>
          <w:p w14:paraId="262A7940">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1</w:t>
            </w:r>
          </w:p>
        </w:tc>
        <w:tc>
          <w:tcPr>
            <w:tcW w:w="237" w:type="pct"/>
            <w:shd w:val="clear" w:color="auto" w:fill="auto"/>
            <w:vAlign w:val="center"/>
          </w:tcPr>
          <w:p w14:paraId="17B06C0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 xml:space="preserve">矿产资源保护监督处 </w:t>
            </w:r>
          </w:p>
        </w:tc>
        <w:tc>
          <w:tcPr>
            <w:tcW w:w="226" w:type="pct"/>
            <w:shd w:val="clear" w:color="auto" w:fill="auto"/>
            <w:vAlign w:val="center"/>
          </w:tcPr>
          <w:p w14:paraId="3DDF0C21">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部组织省实施</w:t>
            </w:r>
          </w:p>
          <w:p w14:paraId="16D31016">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p>
        </w:tc>
        <w:tc>
          <w:tcPr>
            <w:tcW w:w="143" w:type="pct"/>
            <w:shd w:val="clear" w:color="auto" w:fill="auto"/>
            <w:vAlign w:val="center"/>
          </w:tcPr>
          <w:p w14:paraId="70226667">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双随机抽查</w:t>
            </w:r>
          </w:p>
        </w:tc>
      </w:tr>
      <w:tr w14:paraId="1352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jc w:val="center"/>
        </w:trPr>
        <w:tc>
          <w:tcPr>
            <w:tcW w:w="143" w:type="pct"/>
            <w:shd w:val="clear" w:color="auto" w:fill="auto"/>
            <w:vAlign w:val="center"/>
          </w:tcPr>
          <w:p w14:paraId="3E059E22">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lang w:eastAsia="zh-CN"/>
              </w:rPr>
            </w:pPr>
            <w:r>
              <w:rPr>
                <w:rFonts w:hint="default" w:cs="Times New Roman"/>
                <w:color w:val="auto"/>
                <w:sz w:val="22"/>
                <w:szCs w:val="22"/>
                <w:lang w:val="en-US" w:eastAsia="zh-CN"/>
              </w:rPr>
              <w:t>5</w:t>
            </w:r>
          </w:p>
        </w:tc>
        <w:tc>
          <w:tcPr>
            <w:tcW w:w="251" w:type="pct"/>
            <w:shd w:val="clear" w:color="auto" w:fill="auto"/>
            <w:vAlign w:val="center"/>
          </w:tcPr>
          <w:p w14:paraId="41B0539D">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对测绘资质和测绘地理信息成果质量的行政检查</w:t>
            </w:r>
          </w:p>
        </w:tc>
        <w:tc>
          <w:tcPr>
            <w:tcW w:w="2369" w:type="pct"/>
            <w:shd w:val="clear" w:color="auto" w:fill="auto"/>
            <w:vAlign w:val="center"/>
          </w:tcPr>
          <w:p w14:paraId="1337630F">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1.《测绘法》第四条：县级以上地方人民政府测绘地理信息主管部门负责本行政区域测绘工作的统一监督管理。县级以上地方人民政府其他有关部门按照本级人民政府规定的职责分工，负责本部门有关的测绘工作。</w:t>
            </w:r>
          </w:p>
          <w:p w14:paraId="6EC74135">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2.《测绘地理信息质量管理办法》（国测国发〔2015〕17号）第七条：国家测绘地理信息局按年度制定国家测绘地理信息质量监督检查计划。</w:t>
            </w:r>
          </w:p>
          <w:p w14:paraId="2CF8AB8B">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县级以上地方人民政府测绘地理信息行政主管部门依据上一级质量监督检查计划并结合本地情况，安排本级监督检查工作，报上一级测绘地理信息行政主管部门备案。</w:t>
            </w:r>
          </w:p>
          <w:p w14:paraId="232B9174">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bookmarkStart w:id="7" w:name="OLE_LINK6"/>
            <w:r>
              <w:rPr>
                <w:rFonts w:hint="default" w:ascii="Times New Roman" w:hAnsi="Times New Roman" w:eastAsia="宋体" w:cs="Times New Roman"/>
                <w:color w:val="auto"/>
                <w:sz w:val="22"/>
                <w:szCs w:val="22"/>
              </w:rPr>
              <w:t>同一测绘地理信息项目或同一批次成果，上级监督检查的，下级不得另行重复检查</w:t>
            </w:r>
            <w:bookmarkEnd w:id="7"/>
            <w:r>
              <w:rPr>
                <w:rFonts w:hint="default" w:ascii="Times New Roman" w:hAnsi="Times New Roman" w:eastAsia="宋体" w:cs="Times New Roman"/>
                <w:color w:val="auto"/>
                <w:sz w:val="22"/>
                <w:szCs w:val="22"/>
              </w:rPr>
              <w:t>。</w:t>
            </w:r>
          </w:p>
          <w:p w14:paraId="03C3DFDF">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3.《测绘成果质量监督抽查管理办法》（国测国发〔2010〕9号）第三条：国家测绘局负责组织实施全国质量监督抽查工作。县级以上地方人民政府测绘行政主管部门负责组织实施本行政区域内质量监督抽查工作。</w:t>
            </w:r>
          </w:p>
          <w:p w14:paraId="56D6CFA8">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4.《湖南省测绘地理信息条例》第三十条：县级以上人民政府自然资源主管部门应当组织开展测绘成果质量检查，每年按比例随机抽检测绘地理信息项目质量，并向社会公布监督检查结果。检查工作中的技术性事务可以委托具有相应资质的测绘成果质量检验机构或者测绘单位承担。</w:t>
            </w:r>
          </w:p>
        </w:tc>
        <w:tc>
          <w:tcPr>
            <w:tcW w:w="529" w:type="pct"/>
            <w:shd w:val="clear" w:color="auto" w:fill="auto"/>
            <w:vAlign w:val="center"/>
          </w:tcPr>
          <w:p w14:paraId="68C7B16F">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firstLine="223" w:firstLineChars="100"/>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kern w:val="0"/>
                <w:sz w:val="22"/>
                <w:szCs w:val="22"/>
              </w:rPr>
              <w:t>从省内注册的1</w:t>
            </w:r>
            <w:r>
              <w:rPr>
                <w:rFonts w:hint="default" w:cs="Times New Roman"/>
                <w:color w:val="auto"/>
                <w:kern w:val="0"/>
                <w:sz w:val="22"/>
                <w:szCs w:val="22"/>
                <w:lang w:val="en-US" w:eastAsia="zh-CN"/>
              </w:rPr>
              <w:t>0</w:t>
            </w:r>
            <w:r>
              <w:rPr>
                <w:rFonts w:hint="default" w:ascii="Times New Roman" w:hAnsi="Times New Roman" w:eastAsia="宋体" w:cs="Times New Roman"/>
                <w:color w:val="auto"/>
                <w:kern w:val="0"/>
                <w:sz w:val="22"/>
                <w:szCs w:val="22"/>
              </w:rPr>
              <w:t>1</w:t>
            </w:r>
            <w:r>
              <w:rPr>
                <w:rFonts w:hint="default" w:cs="Times New Roman"/>
                <w:color w:val="auto"/>
                <w:kern w:val="0"/>
                <w:sz w:val="22"/>
                <w:szCs w:val="22"/>
                <w:lang w:eastAsia="zh-CN"/>
              </w:rPr>
              <w:t>家</w:t>
            </w:r>
            <w:r>
              <w:rPr>
                <w:rFonts w:hint="default" w:ascii="Times New Roman" w:hAnsi="Times New Roman" w:eastAsia="宋体" w:cs="Times New Roman"/>
                <w:color w:val="auto"/>
                <w:kern w:val="0"/>
                <w:sz w:val="22"/>
                <w:szCs w:val="22"/>
              </w:rPr>
              <w:t>测绘资质单位中，抽取</w:t>
            </w:r>
            <w:r>
              <w:rPr>
                <w:rFonts w:hint="default" w:cs="Times New Roman"/>
                <w:color w:val="auto"/>
                <w:kern w:val="0"/>
                <w:sz w:val="22"/>
                <w:szCs w:val="22"/>
                <w:lang w:val="en-US" w:eastAsia="zh-CN"/>
              </w:rPr>
              <w:t>50%</w:t>
            </w:r>
            <w:r>
              <w:rPr>
                <w:rFonts w:hint="default" w:ascii="Times New Roman" w:hAnsi="Times New Roman" w:eastAsia="宋体" w:cs="Times New Roman"/>
                <w:color w:val="auto"/>
                <w:kern w:val="0"/>
                <w:sz w:val="22"/>
                <w:szCs w:val="22"/>
              </w:rPr>
              <w:t>检查。</w:t>
            </w:r>
          </w:p>
        </w:tc>
        <w:tc>
          <w:tcPr>
            <w:tcW w:w="483" w:type="pct"/>
            <w:shd w:val="clear" w:color="auto" w:fill="auto"/>
            <w:vAlign w:val="center"/>
          </w:tcPr>
          <w:p w14:paraId="2FA54055">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测绘资质和测绘地理信息成果质量情况。</w:t>
            </w:r>
          </w:p>
        </w:tc>
        <w:tc>
          <w:tcPr>
            <w:tcW w:w="252" w:type="pct"/>
            <w:shd w:val="clear" w:color="auto" w:fill="auto"/>
            <w:vAlign w:val="center"/>
          </w:tcPr>
          <w:p w14:paraId="46CCB8F0">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3—12月</w:t>
            </w:r>
          </w:p>
        </w:tc>
        <w:tc>
          <w:tcPr>
            <w:tcW w:w="218" w:type="pct"/>
            <w:shd w:val="clear" w:color="auto" w:fill="auto"/>
            <w:vAlign w:val="center"/>
          </w:tcPr>
          <w:p w14:paraId="43419231">
            <w:pPr>
              <w:keepNext w:val="0"/>
              <w:keepLines w:val="0"/>
              <w:pageBreakBefore w:val="0"/>
              <w:widowControl/>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现场检查</w:t>
            </w:r>
          </w:p>
        </w:tc>
        <w:tc>
          <w:tcPr>
            <w:tcW w:w="143" w:type="pct"/>
            <w:shd w:val="clear" w:color="auto" w:fill="auto"/>
            <w:vAlign w:val="center"/>
          </w:tcPr>
          <w:p w14:paraId="3F6E205A">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1</w:t>
            </w:r>
          </w:p>
        </w:tc>
        <w:tc>
          <w:tcPr>
            <w:tcW w:w="237" w:type="pct"/>
            <w:shd w:val="clear" w:color="auto" w:fill="auto"/>
            <w:vAlign w:val="center"/>
          </w:tcPr>
          <w:p w14:paraId="67707B2B">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国土</w:t>
            </w:r>
          </w:p>
          <w:p w14:paraId="06C6EDDF">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sz w:val="22"/>
                <w:szCs w:val="22"/>
              </w:rPr>
              <w:t>测绘处</w:t>
            </w:r>
          </w:p>
        </w:tc>
        <w:tc>
          <w:tcPr>
            <w:tcW w:w="226" w:type="pct"/>
            <w:shd w:val="clear" w:color="auto" w:fill="auto"/>
            <w:vAlign w:val="center"/>
          </w:tcPr>
          <w:p w14:paraId="7DFB4695">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lang w:eastAsia="zh-CN"/>
              </w:rPr>
            </w:pPr>
            <w:r>
              <w:rPr>
                <w:rFonts w:hint="default" w:ascii="Times New Roman" w:hAnsi="Times New Roman" w:cs="Times New Roman"/>
                <w:color w:val="auto"/>
                <w:kern w:val="0"/>
                <w:sz w:val="22"/>
                <w:szCs w:val="22"/>
                <w:lang w:eastAsia="zh-CN"/>
              </w:rPr>
              <w:t>否</w:t>
            </w:r>
          </w:p>
        </w:tc>
        <w:tc>
          <w:tcPr>
            <w:tcW w:w="143" w:type="pct"/>
            <w:shd w:val="clear" w:color="auto" w:fill="auto"/>
            <w:vAlign w:val="center"/>
          </w:tcPr>
          <w:p w14:paraId="40A5D78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双随机抽查</w:t>
            </w:r>
          </w:p>
        </w:tc>
      </w:tr>
      <w:tr w14:paraId="16FA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143" w:type="pct"/>
            <w:vAlign w:val="center"/>
          </w:tcPr>
          <w:p w14:paraId="77B66B08">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lang w:eastAsia="zh-CN"/>
              </w:rPr>
            </w:pPr>
            <w:r>
              <w:rPr>
                <w:rFonts w:hint="default" w:cs="Times New Roman"/>
                <w:color w:val="auto"/>
                <w:sz w:val="22"/>
                <w:szCs w:val="22"/>
                <w:lang w:val="en-US" w:eastAsia="zh-CN"/>
              </w:rPr>
              <w:t>6</w:t>
            </w:r>
          </w:p>
        </w:tc>
        <w:tc>
          <w:tcPr>
            <w:tcW w:w="251" w:type="pct"/>
            <w:vAlign w:val="center"/>
          </w:tcPr>
          <w:p w14:paraId="247C7A7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对涉密地理信息成果保密的行政检查</w:t>
            </w:r>
          </w:p>
        </w:tc>
        <w:tc>
          <w:tcPr>
            <w:tcW w:w="2369" w:type="pct"/>
            <w:vAlign w:val="center"/>
          </w:tcPr>
          <w:p w14:paraId="56EA5A86">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1.《保守国家秘密法》第四十九条：保密行政管理部门依法组织开展保密宣传教育、保密检查、保密技术防护、保密违法案件调查处理工作，对保密工作进行指导和监督管理。</w:t>
            </w:r>
          </w:p>
          <w:p w14:paraId="599BF438">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kern w:val="0"/>
                <w:sz w:val="22"/>
                <w:szCs w:val="22"/>
                <w:vertAlign w:val="baseline"/>
              </w:rPr>
            </w:pPr>
            <w:r>
              <w:rPr>
                <w:rFonts w:hint="default" w:ascii="Times New Roman" w:hAnsi="Times New Roman" w:eastAsia="宋体" w:cs="Times New Roman"/>
                <w:color w:val="auto"/>
                <w:sz w:val="22"/>
                <w:szCs w:val="22"/>
              </w:rPr>
              <w:t>2.《测绘法》第四十九条：县级以上人民政府测绘地理信息主管部门应当建立健全随机抽查机制，依法履行监督检查职责，发现涉嫌违反本法规定行为的，可以依法采取下列措施：（一）查</w:t>
            </w:r>
            <w:bookmarkStart w:id="8" w:name="OLE_LINK7"/>
            <w:r>
              <w:rPr>
                <w:rFonts w:hint="default" w:ascii="Times New Roman" w:hAnsi="Times New Roman" w:eastAsia="宋体" w:cs="Times New Roman"/>
                <w:color w:val="auto"/>
                <w:sz w:val="22"/>
                <w:szCs w:val="22"/>
              </w:rPr>
              <w:t>阅、复制有关合同、票据、账簿、登记台账以及其他有关文件、资料；</w:t>
            </w:r>
            <w:bookmarkEnd w:id="8"/>
            <w:r>
              <w:rPr>
                <w:rFonts w:hint="default" w:ascii="Times New Roman" w:hAnsi="Times New Roman" w:eastAsia="宋体" w:cs="Times New Roman"/>
                <w:color w:val="auto"/>
                <w:sz w:val="22"/>
                <w:szCs w:val="22"/>
              </w:rPr>
              <w:t>（二）查封、扣押与涉嫌违法测绘行为直接相关的设备、工具、原材料、测绘成果资料等。</w:t>
            </w:r>
          </w:p>
          <w:p w14:paraId="67EFC6BD">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firstLine="223" w:firstLineChars="10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3.《测绘成果管理条例》第三条：国务院测绘行政主管部门负责全国测绘成果工作的统一监督管理。国务院其他有关部门按照职责分工，负责本部门有关的测绘成果工作。</w:t>
            </w:r>
          </w:p>
        </w:tc>
        <w:tc>
          <w:tcPr>
            <w:tcW w:w="529" w:type="pct"/>
            <w:vAlign w:val="center"/>
          </w:tcPr>
          <w:p w14:paraId="6214609A">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firstLine="223" w:firstLineChars="100"/>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kern w:val="0"/>
                <w:sz w:val="22"/>
                <w:szCs w:val="22"/>
              </w:rPr>
              <w:t>从省内注册的1</w:t>
            </w:r>
            <w:r>
              <w:rPr>
                <w:rFonts w:hint="default" w:cs="Times New Roman"/>
                <w:color w:val="auto"/>
                <w:kern w:val="0"/>
                <w:sz w:val="22"/>
                <w:szCs w:val="22"/>
                <w:lang w:val="en-US" w:eastAsia="zh-CN"/>
              </w:rPr>
              <w:t>0</w:t>
            </w:r>
            <w:r>
              <w:rPr>
                <w:rFonts w:hint="default" w:ascii="Times New Roman" w:hAnsi="Times New Roman" w:eastAsia="宋体" w:cs="Times New Roman"/>
                <w:color w:val="auto"/>
                <w:kern w:val="0"/>
                <w:sz w:val="22"/>
                <w:szCs w:val="22"/>
              </w:rPr>
              <w:t>1</w:t>
            </w:r>
            <w:r>
              <w:rPr>
                <w:rFonts w:hint="default" w:cs="Times New Roman"/>
                <w:color w:val="auto"/>
                <w:kern w:val="0"/>
                <w:sz w:val="22"/>
                <w:szCs w:val="22"/>
                <w:lang w:eastAsia="zh-CN"/>
              </w:rPr>
              <w:t>家</w:t>
            </w:r>
            <w:r>
              <w:rPr>
                <w:rFonts w:hint="default" w:ascii="Times New Roman" w:hAnsi="Times New Roman" w:eastAsia="宋体" w:cs="Times New Roman"/>
                <w:color w:val="auto"/>
                <w:kern w:val="0"/>
                <w:sz w:val="22"/>
                <w:szCs w:val="22"/>
              </w:rPr>
              <w:t>测绘资质单位、40家数据使用单位中，抽取35%检查。</w:t>
            </w:r>
          </w:p>
        </w:tc>
        <w:tc>
          <w:tcPr>
            <w:tcW w:w="483" w:type="pct"/>
            <w:vAlign w:val="center"/>
          </w:tcPr>
          <w:p w14:paraId="463055A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自然资源涉密和敏感数据安全保密管理、涉密地理信息成果保密检查。</w:t>
            </w:r>
          </w:p>
        </w:tc>
        <w:tc>
          <w:tcPr>
            <w:tcW w:w="252" w:type="pct"/>
            <w:shd w:val="clear" w:color="auto" w:fill="auto"/>
            <w:vAlign w:val="center"/>
          </w:tcPr>
          <w:p w14:paraId="7B0E3965">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3—12月</w:t>
            </w:r>
          </w:p>
        </w:tc>
        <w:tc>
          <w:tcPr>
            <w:tcW w:w="218" w:type="pct"/>
            <w:vAlign w:val="center"/>
          </w:tcPr>
          <w:p w14:paraId="3EEF1011">
            <w:pPr>
              <w:keepNext w:val="0"/>
              <w:keepLines w:val="0"/>
              <w:pageBreakBefore w:val="0"/>
              <w:widowControl/>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现场检查</w:t>
            </w:r>
          </w:p>
        </w:tc>
        <w:tc>
          <w:tcPr>
            <w:tcW w:w="143" w:type="pct"/>
            <w:vAlign w:val="center"/>
          </w:tcPr>
          <w:p w14:paraId="1DBE638A">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1</w:t>
            </w:r>
          </w:p>
        </w:tc>
        <w:tc>
          <w:tcPr>
            <w:tcW w:w="237" w:type="pct"/>
            <w:vAlign w:val="center"/>
          </w:tcPr>
          <w:p w14:paraId="4942922E">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地理</w:t>
            </w:r>
          </w:p>
          <w:p w14:paraId="5F7ECFF1">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信息</w:t>
            </w:r>
          </w:p>
          <w:p w14:paraId="6BCC5234">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管理处</w:t>
            </w:r>
          </w:p>
        </w:tc>
        <w:tc>
          <w:tcPr>
            <w:tcW w:w="226" w:type="pct"/>
            <w:vAlign w:val="center"/>
          </w:tcPr>
          <w:p w14:paraId="5E539F91">
            <w:pPr>
              <w:keepNext w:val="0"/>
              <w:keepLines w:val="0"/>
              <w:pageBreakBefore w:val="0"/>
              <w:suppressLineNumbers w:val="0"/>
              <w:kinsoku/>
              <w:wordWrap/>
              <w:overflowPunct/>
              <w:topLinePunct w:val="0"/>
              <w:bidi w:val="0"/>
              <w:snapToGrid/>
              <w:spacing w:before="0" w:beforeAutospacing="0" w:after="0" w:afterAutospacing="0" w:line="240" w:lineRule="exact"/>
              <w:ind w:left="0" w:right="0"/>
              <w:jc w:val="center"/>
              <w:textAlignment w:val="auto"/>
              <w:rPr>
                <w:rFonts w:hint="default" w:ascii="Times New Roman" w:hAnsi="Times New Roman" w:eastAsia="宋体" w:cs="Times New Roman"/>
                <w:color w:val="auto"/>
                <w:sz w:val="22"/>
                <w:szCs w:val="22"/>
                <w:lang w:eastAsia="zh-CN"/>
              </w:rPr>
            </w:pPr>
            <w:r>
              <w:rPr>
                <w:rFonts w:hint="default" w:ascii="Times New Roman" w:hAnsi="Times New Roman" w:cs="Times New Roman"/>
                <w:color w:val="auto"/>
                <w:sz w:val="22"/>
                <w:szCs w:val="22"/>
                <w:lang w:eastAsia="zh-CN"/>
              </w:rPr>
              <w:t>否</w:t>
            </w:r>
          </w:p>
        </w:tc>
        <w:tc>
          <w:tcPr>
            <w:tcW w:w="143" w:type="pct"/>
            <w:shd w:val="clear" w:color="auto" w:fill="auto"/>
            <w:vAlign w:val="center"/>
          </w:tcPr>
          <w:p w14:paraId="0FB2CFE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left"/>
              <w:textAlignment w:val="auto"/>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双随机抽查</w:t>
            </w:r>
          </w:p>
        </w:tc>
      </w:tr>
      <w:bookmarkEnd w:id="0"/>
    </w:tbl>
    <w:p w14:paraId="73EF4A68">
      <w:pPr>
        <w:spacing w:line="560" w:lineRule="exact"/>
        <w:ind w:firstLine="426" w:firstLineChars="200"/>
        <w:jc w:val="left"/>
        <w:rPr>
          <w:rFonts w:hint="eastAsia"/>
        </w:rPr>
      </w:pPr>
    </w:p>
    <w:sectPr>
      <w:footerReference r:id="rId3" w:type="default"/>
      <w:pgSz w:w="16840" w:h="11907" w:orient="landscape"/>
      <w:pgMar w:top="1800" w:right="1440" w:bottom="1800" w:left="1440" w:header="851" w:footer="992" w:gutter="0"/>
      <w:pgNumType w:fmt="decimal"/>
      <w:cols w:space="0" w:num="1"/>
      <w:rtlGutter w:val="0"/>
      <w:docGrid w:type="linesAndChars" w:linePitch="319" w:charSpace="6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公文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6D35">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rawingGridHorizontalSpacing w:val="107"/>
  <w:drawingGridVerticalSpacing w:val="159"/>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jFlZTVjMmRmYmIxMTBlOGE3ODllYjJiYjQ4NjAifQ=="/>
    <w:docVar w:name="KGWebUrl" w:val="http://59.231.219.12:28701/api/file/download?fileLinkId=1282151942372749949&amp;storeId=doc"/>
  </w:docVars>
  <w:rsids>
    <w:rsidRoot w:val="00D01FF6"/>
    <w:rsid w:val="00001C46"/>
    <w:rsid w:val="000041BD"/>
    <w:rsid w:val="00014A14"/>
    <w:rsid w:val="00033235"/>
    <w:rsid w:val="00037881"/>
    <w:rsid w:val="00044E45"/>
    <w:rsid w:val="000512C5"/>
    <w:rsid w:val="0005598F"/>
    <w:rsid w:val="00056551"/>
    <w:rsid w:val="00057EBF"/>
    <w:rsid w:val="000674E0"/>
    <w:rsid w:val="00071822"/>
    <w:rsid w:val="0007208C"/>
    <w:rsid w:val="00074C98"/>
    <w:rsid w:val="00075AAF"/>
    <w:rsid w:val="00081097"/>
    <w:rsid w:val="00085A41"/>
    <w:rsid w:val="000A5675"/>
    <w:rsid w:val="000A6296"/>
    <w:rsid w:val="000B4416"/>
    <w:rsid w:val="000B75F4"/>
    <w:rsid w:val="000C310A"/>
    <w:rsid w:val="000C404C"/>
    <w:rsid w:val="000C740B"/>
    <w:rsid w:val="000D1CB7"/>
    <w:rsid w:val="000D2CE2"/>
    <w:rsid w:val="000D4B57"/>
    <w:rsid w:val="00101895"/>
    <w:rsid w:val="0010581F"/>
    <w:rsid w:val="00105D7B"/>
    <w:rsid w:val="001104E7"/>
    <w:rsid w:val="00114ABC"/>
    <w:rsid w:val="00115E77"/>
    <w:rsid w:val="00120C07"/>
    <w:rsid w:val="001356A7"/>
    <w:rsid w:val="00135F92"/>
    <w:rsid w:val="00141241"/>
    <w:rsid w:val="001448A9"/>
    <w:rsid w:val="00155EAF"/>
    <w:rsid w:val="0016208C"/>
    <w:rsid w:val="001655A1"/>
    <w:rsid w:val="00171243"/>
    <w:rsid w:val="00174304"/>
    <w:rsid w:val="00192253"/>
    <w:rsid w:val="00195FFE"/>
    <w:rsid w:val="001A0D62"/>
    <w:rsid w:val="001A333C"/>
    <w:rsid w:val="001B3926"/>
    <w:rsid w:val="001C144B"/>
    <w:rsid w:val="001C7CCB"/>
    <w:rsid w:val="001D6968"/>
    <w:rsid w:val="001E239B"/>
    <w:rsid w:val="001E27B7"/>
    <w:rsid w:val="001E3F8C"/>
    <w:rsid w:val="001F28AA"/>
    <w:rsid w:val="001F51A3"/>
    <w:rsid w:val="00226ACB"/>
    <w:rsid w:val="00231686"/>
    <w:rsid w:val="00233E32"/>
    <w:rsid w:val="0024216A"/>
    <w:rsid w:val="00243C5D"/>
    <w:rsid w:val="002622FB"/>
    <w:rsid w:val="00264381"/>
    <w:rsid w:val="00264662"/>
    <w:rsid w:val="00265116"/>
    <w:rsid w:val="00267FC2"/>
    <w:rsid w:val="00271C7A"/>
    <w:rsid w:val="0027348D"/>
    <w:rsid w:val="00274485"/>
    <w:rsid w:val="002837F7"/>
    <w:rsid w:val="00284F2C"/>
    <w:rsid w:val="002934C6"/>
    <w:rsid w:val="00295B69"/>
    <w:rsid w:val="002A0944"/>
    <w:rsid w:val="002B1ED7"/>
    <w:rsid w:val="002D4E9C"/>
    <w:rsid w:val="002D6681"/>
    <w:rsid w:val="002F1607"/>
    <w:rsid w:val="002F4C9A"/>
    <w:rsid w:val="0030173E"/>
    <w:rsid w:val="00306285"/>
    <w:rsid w:val="0032036B"/>
    <w:rsid w:val="00320490"/>
    <w:rsid w:val="003210CE"/>
    <w:rsid w:val="0032427A"/>
    <w:rsid w:val="00336795"/>
    <w:rsid w:val="00342502"/>
    <w:rsid w:val="003513D3"/>
    <w:rsid w:val="00354044"/>
    <w:rsid w:val="00363B49"/>
    <w:rsid w:val="003665B8"/>
    <w:rsid w:val="00380152"/>
    <w:rsid w:val="003807CB"/>
    <w:rsid w:val="00386ACD"/>
    <w:rsid w:val="003914D3"/>
    <w:rsid w:val="00396B72"/>
    <w:rsid w:val="003A5398"/>
    <w:rsid w:val="003B4D9E"/>
    <w:rsid w:val="003B5ADF"/>
    <w:rsid w:val="003B7E9B"/>
    <w:rsid w:val="003C4CB2"/>
    <w:rsid w:val="003D1D8B"/>
    <w:rsid w:val="003D2853"/>
    <w:rsid w:val="003E58C5"/>
    <w:rsid w:val="003E6EAE"/>
    <w:rsid w:val="003F6162"/>
    <w:rsid w:val="00403B07"/>
    <w:rsid w:val="004056AC"/>
    <w:rsid w:val="00413D9E"/>
    <w:rsid w:val="00415525"/>
    <w:rsid w:val="00415C0F"/>
    <w:rsid w:val="00421AC1"/>
    <w:rsid w:val="00426C66"/>
    <w:rsid w:val="00432423"/>
    <w:rsid w:val="0044510B"/>
    <w:rsid w:val="00446025"/>
    <w:rsid w:val="00461AEA"/>
    <w:rsid w:val="004773B6"/>
    <w:rsid w:val="0049235F"/>
    <w:rsid w:val="00492D3A"/>
    <w:rsid w:val="0049568C"/>
    <w:rsid w:val="00496B7E"/>
    <w:rsid w:val="004A0E1D"/>
    <w:rsid w:val="004A63C2"/>
    <w:rsid w:val="004B2543"/>
    <w:rsid w:val="004B421A"/>
    <w:rsid w:val="004B74E5"/>
    <w:rsid w:val="004D062E"/>
    <w:rsid w:val="004D4474"/>
    <w:rsid w:val="004F2065"/>
    <w:rsid w:val="004F29A3"/>
    <w:rsid w:val="00510C8E"/>
    <w:rsid w:val="00512512"/>
    <w:rsid w:val="005214AA"/>
    <w:rsid w:val="00522C5A"/>
    <w:rsid w:val="00526297"/>
    <w:rsid w:val="00536373"/>
    <w:rsid w:val="005421F2"/>
    <w:rsid w:val="00545D0F"/>
    <w:rsid w:val="00547D51"/>
    <w:rsid w:val="00547DA1"/>
    <w:rsid w:val="005536B9"/>
    <w:rsid w:val="00556CA1"/>
    <w:rsid w:val="00563719"/>
    <w:rsid w:val="00566000"/>
    <w:rsid w:val="00572D88"/>
    <w:rsid w:val="0057487E"/>
    <w:rsid w:val="005763AD"/>
    <w:rsid w:val="00576D9C"/>
    <w:rsid w:val="00580140"/>
    <w:rsid w:val="00582DE0"/>
    <w:rsid w:val="00583161"/>
    <w:rsid w:val="005864FA"/>
    <w:rsid w:val="00591A3E"/>
    <w:rsid w:val="00593ED1"/>
    <w:rsid w:val="005957CA"/>
    <w:rsid w:val="005A3270"/>
    <w:rsid w:val="005B0152"/>
    <w:rsid w:val="005B2C9A"/>
    <w:rsid w:val="005B604D"/>
    <w:rsid w:val="005C3EFB"/>
    <w:rsid w:val="005C676E"/>
    <w:rsid w:val="005C7268"/>
    <w:rsid w:val="005E6A88"/>
    <w:rsid w:val="005F0529"/>
    <w:rsid w:val="005F44E4"/>
    <w:rsid w:val="006036BD"/>
    <w:rsid w:val="00607004"/>
    <w:rsid w:val="0061573B"/>
    <w:rsid w:val="00625B77"/>
    <w:rsid w:val="00627DAF"/>
    <w:rsid w:val="00631BB2"/>
    <w:rsid w:val="00632F7E"/>
    <w:rsid w:val="006414DA"/>
    <w:rsid w:val="00646BC0"/>
    <w:rsid w:val="00651D61"/>
    <w:rsid w:val="0066194A"/>
    <w:rsid w:val="00661B0A"/>
    <w:rsid w:val="00676785"/>
    <w:rsid w:val="00680F22"/>
    <w:rsid w:val="006953CB"/>
    <w:rsid w:val="006A3A7D"/>
    <w:rsid w:val="006A5809"/>
    <w:rsid w:val="006B0238"/>
    <w:rsid w:val="006B1C29"/>
    <w:rsid w:val="006B583A"/>
    <w:rsid w:val="006C4A64"/>
    <w:rsid w:val="006D1FEC"/>
    <w:rsid w:val="006D2AA9"/>
    <w:rsid w:val="006D789C"/>
    <w:rsid w:val="006E5E28"/>
    <w:rsid w:val="006F1AA7"/>
    <w:rsid w:val="006F1EF2"/>
    <w:rsid w:val="006F285F"/>
    <w:rsid w:val="006F30F6"/>
    <w:rsid w:val="007130DC"/>
    <w:rsid w:val="00720003"/>
    <w:rsid w:val="00720961"/>
    <w:rsid w:val="00720F75"/>
    <w:rsid w:val="007227AE"/>
    <w:rsid w:val="00725625"/>
    <w:rsid w:val="00731A3F"/>
    <w:rsid w:val="00741AA5"/>
    <w:rsid w:val="00742D0A"/>
    <w:rsid w:val="00745569"/>
    <w:rsid w:val="00745A51"/>
    <w:rsid w:val="0076195F"/>
    <w:rsid w:val="0076454F"/>
    <w:rsid w:val="00777AA4"/>
    <w:rsid w:val="0078084D"/>
    <w:rsid w:val="00783394"/>
    <w:rsid w:val="007A60F2"/>
    <w:rsid w:val="007A7D21"/>
    <w:rsid w:val="007B077D"/>
    <w:rsid w:val="007D7CF5"/>
    <w:rsid w:val="007D7FD6"/>
    <w:rsid w:val="007E594B"/>
    <w:rsid w:val="0080055D"/>
    <w:rsid w:val="00803D8E"/>
    <w:rsid w:val="00805CB5"/>
    <w:rsid w:val="0081340D"/>
    <w:rsid w:val="00813D50"/>
    <w:rsid w:val="00826A3F"/>
    <w:rsid w:val="00833465"/>
    <w:rsid w:val="00844769"/>
    <w:rsid w:val="00845D55"/>
    <w:rsid w:val="0086034E"/>
    <w:rsid w:val="00862F4F"/>
    <w:rsid w:val="00864CC5"/>
    <w:rsid w:val="008779C5"/>
    <w:rsid w:val="00880B61"/>
    <w:rsid w:val="00881A81"/>
    <w:rsid w:val="00884588"/>
    <w:rsid w:val="00884714"/>
    <w:rsid w:val="00892E9F"/>
    <w:rsid w:val="0089553A"/>
    <w:rsid w:val="008A3E38"/>
    <w:rsid w:val="008A48D8"/>
    <w:rsid w:val="008A723E"/>
    <w:rsid w:val="008C46FF"/>
    <w:rsid w:val="008C7248"/>
    <w:rsid w:val="008D30E3"/>
    <w:rsid w:val="008E1DEB"/>
    <w:rsid w:val="008F0B0E"/>
    <w:rsid w:val="008F64F6"/>
    <w:rsid w:val="008F73FB"/>
    <w:rsid w:val="00900F42"/>
    <w:rsid w:val="009042FB"/>
    <w:rsid w:val="00906E9A"/>
    <w:rsid w:val="00915F73"/>
    <w:rsid w:val="00920E8D"/>
    <w:rsid w:val="009242DA"/>
    <w:rsid w:val="0093473E"/>
    <w:rsid w:val="00934A87"/>
    <w:rsid w:val="009377F7"/>
    <w:rsid w:val="00941DF8"/>
    <w:rsid w:val="009445DD"/>
    <w:rsid w:val="00952E14"/>
    <w:rsid w:val="0096746F"/>
    <w:rsid w:val="0097220A"/>
    <w:rsid w:val="00974238"/>
    <w:rsid w:val="00975C7E"/>
    <w:rsid w:val="00987DA5"/>
    <w:rsid w:val="0099321E"/>
    <w:rsid w:val="0099709F"/>
    <w:rsid w:val="009A2837"/>
    <w:rsid w:val="009B0362"/>
    <w:rsid w:val="009B1A39"/>
    <w:rsid w:val="009B6A8E"/>
    <w:rsid w:val="009C1AA4"/>
    <w:rsid w:val="009C4735"/>
    <w:rsid w:val="009D4030"/>
    <w:rsid w:val="009E20C1"/>
    <w:rsid w:val="009F389B"/>
    <w:rsid w:val="00A20C80"/>
    <w:rsid w:val="00A24AFB"/>
    <w:rsid w:val="00A25969"/>
    <w:rsid w:val="00A25E4C"/>
    <w:rsid w:val="00A276B2"/>
    <w:rsid w:val="00A30639"/>
    <w:rsid w:val="00A432DE"/>
    <w:rsid w:val="00A6647D"/>
    <w:rsid w:val="00A675DD"/>
    <w:rsid w:val="00A70A4E"/>
    <w:rsid w:val="00A72AA1"/>
    <w:rsid w:val="00A7631F"/>
    <w:rsid w:val="00A77092"/>
    <w:rsid w:val="00A84F65"/>
    <w:rsid w:val="00A8642E"/>
    <w:rsid w:val="00A93ADF"/>
    <w:rsid w:val="00A94655"/>
    <w:rsid w:val="00AA0683"/>
    <w:rsid w:val="00AA1574"/>
    <w:rsid w:val="00AA200C"/>
    <w:rsid w:val="00AA5372"/>
    <w:rsid w:val="00AA759F"/>
    <w:rsid w:val="00AD13A3"/>
    <w:rsid w:val="00AD191D"/>
    <w:rsid w:val="00AD2DB9"/>
    <w:rsid w:val="00AE46BC"/>
    <w:rsid w:val="00AF27F1"/>
    <w:rsid w:val="00AF57C4"/>
    <w:rsid w:val="00AF61BC"/>
    <w:rsid w:val="00AF75AB"/>
    <w:rsid w:val="00B0713A"/>
    <w:rsid w:val="00B14B1D"/>
    <w:rsid w:val="00B14E41"/>
    <w:rsid w:val="00B15DD1"/>
    <w:rsid w:val="00B23394"/>
    <w:rsid w:val="00B33D85"/>
    <w:rsid w:val="00B368FC"/>
    <w:rsid w:val="00B51002"/>
    <w:rsid w:val="00B606A8"/>
    <w:rsid w:val="00B66E1C"/>
    <w:rsid w:val="00B741B8"/>
    <w:rsid w:val="00B9148B"/>
    <w:rsid w:val="00B933A0"/>
    <w:rsid w:val="00B97529"/>
    <w:rsid w:val="00BA29BA"/>
    <w:rsid w:val="00BA3A2D"/>
    <w:rsid w:val="00BA3D80"/>
    <w:rsid w:val="00BA6C8C"/>
    <w:rsid w:val="00BB2F6E"/>
    <w:rsid w:val="00BC0839"/>
    <w:rsid w:val="00BC1745"/>
    <w:rsid w:val="00BC4A5D"/>
    <w:rsid w:val="00BD5B13"/>
    <w:rsid w:val="00BD67F6"/>
    <w:rsid w:val="00BF0DE5"/>
    <w:rsid w:val="00BF1EAD"/>
    <w:rsid w:val="00BF628E"/>
    <w:rsid w:val="00BF734B"/>
    <w:rsid w:val="00C0006E"/>
    <w:rsid w:val="00C00B28"/>
    <w:rsid w:val="00C1103D"/>
    <w:rsid w:val="00C306A0"/>
    <w:rsid w:val="00C41179"/>
    <w:rsid w:val="00C448A8"/>
    <w:rsid w:val="00C44A34"/>
    <w:rsid w:val="00C57908"/>
    <w:rsid w:val="00C62037"/>
    <w:rsid w:val="00C67CB0"/>
    <w:rsid w:val="00C703A6"/>
    <w:rsid w:val="00C71336"/>
    <w:rsid w:val="00C822AD"/>
    <w:rsid w:val="00C86689"/>
    <w:rsid w:val="00C94C6C"/>
    <w:rsid w:val="00CA13E5"/>
    <w:rsid w:val="00CA6437"/>
    <w:rsid w:val="00CC72AE"/>
    <w:rsid w:val="00CE368E"/>
    <w:rsid w:val="00CE583A"/>
    <w:rsid w:val="00CE7C52"/>
    <w:rsid w:val="00D01FF6"/>
    <w:rsid w:val="00D030EE"/>
    <w:rsid w:val="00D0600C"/>
    <w:rsid w:val="00D13230"/>
    <w:rsid w:val="00D14B79"/>
    <w:rsid w:val="00D20C6F"/>
    <w:rsid w:val="00D32366"/>
    <w:rsid w:val="00D35383"/>
    <w:rsid w:val="00D40645"/>
    <w:rsid w:val="00D563CD"/>
    <w:rsid w:val="00D87467"/>
    <w:rsid w:val="00D93C91"/>
    <w:rsid w:val="00D9489D"/>
    <w:rsid w:val="00D958F4"/>
    <w:rsid w:val="00DA47F3"/>
    <w:rsid w:val="00DA6694"/>
    <w:rsid w:val="00DB6F1B"/>
    <w:rsid w:val="00DC6B6D"/>
    <w:rsid w:val="00E01D1D"/>
    <w:rsid w:val="00E01EE5"/>
    <w:rsid w:val="00E03629"/>
    <w:rsid w:val="00E04FFF"/>
    <w:rsid w:val="00E07606"/>
    <w:rsid w:val="00E118FD"/>
    <w:rsid w:val="00E1265F"/>
    <w:rsid w:val="00E208DD"/>
    <w:rsid w:val="00E221A9"/>
    <w:rsid w:val="00E35ED2"/>
    <w:rsid w:val="00E40784"/>
    <w:rsid w:val="00E604A6"/>
    <w:rsid w:val="00E60DF3"/>
    <w:rsid w:val="00E64554"/>
    <w:rsid w:val="00E65E2F"/>
    <w:rsid w:val="00E7047E"/>
    <w:rsid w:val="00E7418F"/>
    <w:rsid w:val="00E752B5"/>
    <w:rsid w:val="00E7756E"/>
    <w:rsid w:val="00E831AC"/>
    <w:rsid w:val="00E83340"/>
    <w:rsid w:val="00E879E0"/>
    <w:rsid w:val="00E9485D"/>
    <w:rsid w:val="00E9758F"/>
    <w:rsid w:val="00E97848"/>
    <w:rsid w:val="00EA1A97"/>
    <w:rsid w:val="00EA2284"/>
    <w:rsid w:val="00EB4507"/>
    <w:rsid w:val="00EC00C7"/>
    <w:rsid w:val="00EE1CE5"/>
    <w:rsid w:val="00EE1ED8"/>
    <w:rsid w:val="00EF15C9"/>
    <w:rsid w:val="00EF264C"/>
    <w:rsid w:val="00EF3B94"/>
    <w:rsid w:val="00F1048E"/>
    <w:rsid w:val="00F13003"/>
    <w:rsid w:val="00F13992"/>
    <w:rsid w:val="00F2049E"/>
    <w:rsid w:val="00F20F1C"/>
    <w:rsid w:val="00F2529C"/>
    <w:rsid w:val="00F25843"/>
    <w:rsid w:val="00F32824"/>
    <w:rsid w:val="00F4296E"/>
    <w:rsid w:val="00F50F81"/>
    <w:rsid w:val="00F5755C"/>
    <w:rsid w:val="00F57997"/>
    <w:rsid w:val="00F61E0A"/>
    <w:rsid w:val="00F63C1B"/>
    <w:rsid w:val="00F661F4"/>
    <w:rsid w:val="00F73361"/>
    <w:rsid w:val="00F75828"/>
    <w:rsid w:val="00F802F0"/>
    <w:rsid w:val="00F8099A"/>
    <w:rsid w:val="00F92BFE"/>
    <w:rsid w:val="00FA7013"/>
    <w:rsid w:val="00FB6130"/>
    <w:rsid w:val="00FB63CC"/>
    <w:rsid w:val="00FB7ABC"/>
    <w:rsid w:val="00FC163B"/>
    <w:rsid w:val="00FC62F9"/>
    <w:rsid w:val="00FD2C14"/>
    <w:rsid w:val="00FD32EF"/>
    <w:rsid w:val="00FD54EC"/>
    <w:rsid w:val="00FF1CF2"/>
    <w:rsid w:val="03AB2112"/>
    <w:rsid w:val="050015B9"/>
    <w:rsid w:val="0C06190D"/>
    <w:rsid w:val="11337085"/>
    <w:rsid w:val="1CCE4265"/>
    <w:rsid w:val="1F7DB303"/>
    <w:rsid w:val="24720D6C"/>
    <w:rsid w:val="26A91EF5"/>
    <w:rsid w:val="2AD5161D"/>
    <w:rsid w:val="2B1EBD14"/>
    <w:rsid w:val="2B7DC026"/>
    <w:rsid w:val="305A656D"/>
    <w:rsid w:val="355639AD"/>
    <w:rsid w:val="35D023B8"/>
    <w:rsid w:val="378F401B"/>
    <w:rsid w:val="393B9D0F"/>
    <w:rsid w:val="39B11C34"/>
    <w:rsid w:val="3A9271B1"/>
    <w:rsid w:val="3D82293B"/>
    <w:rsid w:val="3DCA3749"/>
    <w:rsid w:val="3F57F595"/>
    <w:rsid w:val="3FA6CAAF"/>
    <w:rsid w:val="463936FB"/>
    <w:rsid w:val="47FFE3F5"/>
    <w:rsid w:val="48403498"/>
    <w:rsid w:val="4C732BD6"/>
    <w:rsid w:val="4DB74D27"/>
    <w:rsid w:val="4FDFFC4F"/>
    <w:rsid w:val="4FFE2162"/>
    <w:rsid w:val="54D21738"/>
    <w:rsid w:val="56E36009"/>
    <w:rsid w:val="586C479B"/>
    <w:rsid w:val="5DBE3B8F"/>
    <w:rsid w:val="5FFEC5B7"/>
    <w:rsid w:val="61956B78"/>
    <w:rsid w:val="62002464"/>
    <w:rsid w:val="633111B8"/>
    <w:rsid w:val="67CB3AB1"/>
    <w:rsid w:val="6BBE14D1"/>
    <w:rsid w:val="6C0341C4"/>
    <w:rsid w:val="6D7D96BE"/>
    <w:rsid w:val="6DB60302"/>
    <w:rsid w:val="6E7E3384"/>
    <w:rsid w:val="6EC101CB"/>
    <w:rsid w:val="6F4EB410"/>
    <w:rsid w:val="6F576493"/>
    <w:rsid w:val="6FAF46DC"/>
    <w:rsid w:val="72E02F1F"/>
    <w:rsid w:val="73DB1A7F"/>
    <w:rsid w:val="753BC6C2"/>
    <w:rsid w:val="77992098"/>
    <w:rsid w:val="78EF3768"/>
    <w:rsid w:val="792D765F"/>
    <w:rsid w:val="7CFE267C"/>
    <w:rsid w:val="7E7EB177"/>
    <w:rsid w:val="7F17ADC1"/>
    <w:rsid w:val="7F3F6794"/>
    <w:rsid w:val="7F5DF993"/>
    <w:rsid w:val="7F5F94B2"/>
    <w:rsid w:val="7F774061"/>
    <w:rsid w:val="7FEFC8CF"/>
    <w:rsid w:val="8F4DF2FF"/>
    <w:rsid w:val="8F71725A"/>
    <w:rsid w:val="9E7FF4F5"/>
    <w:rsid w:val="9EF34CD3"/>
    <w:rsid w:val="9FF7CCAB"/>
    <w:rsid w:val="A3FF24B0"/>
    <w:rsid w:val="ABF7F9E2"/>
    <w:rsid w:val="B41F24D4"/>
    <w:rsid w:val="B7DE82F7"/>
    <w:rsid w:val="BDDF6182"/>
    <w:rsid w:val="BDFF463B"/>
    <w:rsid w:val="BF75E277"/>
    <w:rsid w:val="BFFD256F"/>
    <w:rsid w:val="C3F7BC22"/>
    <w:rsid w:val="C7F8E353"/>
    <w:rsid w:val="CBBD64AB"/>
    <w:rsid w:val="D3D5DFE6"/>
    <w:rsid w:val="DACB881D"/>
    <w:rsid w:val="DBF6C72C"/>
    <w:rsid w:val="DBF7B7CA"/>
    <w:rsid w:val="E77F0CBA"/>
    <w:rsid w:val="EDEFC245"/>
    <w:rsid w:val="EE6FBD13"/>
    <w:rsid w:val="EF7FB54D"/>
    <w:rsid w:val="EFFBE879"/>
    <w:rsid w:val="F773F299"/>
    <w:rsid w:val="F7BFEC94"/>
    <w:rsid w:val="FAFF9BFC"/>
    <w:rsid w:val="FF6FF78D"/>
    <w:rsid w:val="FFC7C1CE"/>
    <w:rsid w:val="FFCF057E"/>
    <w:rsid w:val="FFD4B7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kern w:val="0"/>
      <w:sz w:val="18"/>
      <w:szCs w:val="20"/>
    </w:rPr>
  </w:style>
  <w:style w:type="paragraph" w:styleId="3">
    <w:name w:val="heading 2"/>
    <w:basedOn w:val="1"/>
    <w:next w:val="1"/>
    <w:link w:val="32"/>
    <w:semiHidden/>
    <w:unhideWhenUsed/>
    <w:qFormat/>
    <w:uiPriority w:val="9"/>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33"/>
    <w:semiHidden/>
    <w:unhideWhenUsed/>
    <w:qFormat/>
    <w:uiPriority w:val="9"/>
    <w:pPr>
      <w:keepNext/>
      <w:keepLines/>
      <w:jc w:val="center"/>
      <w:outlineLvl w:val="2"/>
    </w:pPr>
    <w:rPr>
      <w:rFonts w:eastAsia="仿宋_GB2312"/>
      <w:bCs/>
      <w:sz w:val="32"/>
      <w:szCs w:val="32"/>
    </w:rPr>
  </w:style>
  <w:style w:type="paragraph" w:styleId="5">
    <w:name w:val="heading 5"/>
    <w:basedOn w:val="1"/>
    <w:next w:val="1"/>
    <w:semiHidden/>
    <w:unhideWhenUsed/>
    <w:qFormat/>
    <w:uiPriority w:val="9"/>
    <w:pPr>
      <w:keepNext/>
      <w:keepLines/>
      <w:spacing w:before="280" w:after="290" w:line="376" w:lineRule="auto"/>
      <w:outlineLvl w:val="4"/>
    </w:pPr>
    <w:rPr>
      <w:b/>
      <w:bCs/>
      <w:sz w:val="28"/>
      <w:szCs w:val="28"/>
    </w:rPr>
  </w:style>
  <w:style w:type="character" w:default="1" w:styleId="24">
    <w:name w:val="Default Paragraph Font"/>
    <w:link w:val="25"/>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Document Map"/>
    <w:basedOn w:val="1"/>
    <w:link w:val="34"/>
    <w:semiHidden/>
    <w:unhideWhenUsed/>
    <w:qFormat/>
    <w:uiPriority w:val="99"/>
    <w:pPr>
      <w:shd w:val="clear" w:color="auto" w:fill="000080"/>
    </w:pPr>
  </w:style>
  <w:style w:type="paragraph" w:styleId="7">
    <w:name w:val="annotation text"/>
    <w:basedOn w:val="1"/>
    <w:link w:val="35"/>
    <w:semiHidden/>
    <w:unhideWhenUsed/>
    <w:qFormat/>
    <w:uiPriority w:val="99"/>
    <w:pPr>
      <w:jc w:val="left"/>
    </w:pPr>
  </w:style>
  <w:style w:type="paragraph" w:styleId="8">
    <w:name w:val="Body Text"/>
    <w:basedOn w:val="1"/>
    <w:semiHidden/>
    <w:unhideWhenUsed/>
    <w:qFormat/>
    <w:uiPriority w:val="99"/>
    <w:rPr>
      <w:rFonts w:ascii="黑体" w:eastAsia="黑体"/>
      <w:b/>
      <w:bCs/>
      <w:sz w:val="44"/>
    </w:rPr>
  </w:style>
  <w:style w:type="paragraph" w:styleId="9">
    <w:name w:val="Body Text Indent"/>
    <w:basedOn w:val="1"/>
    <w:link w:val="36"/>
    <w:semiHidden/>
    <w:unhideWhenUsed/>
    <w:qFormat/>
    <w:uiPriority w:val="99"/>
    <w:pPr>
      <w:spacing w:after="120"/>
      <w:ind w:left="420" w:leftChars="200"/>
    </w:pPr>
  </w:style>
  <w:style w:type="paragraph" w:styleId="10">
    <w:name w:val="toc 3"/>
    <w:basedOn w:val="1"/>
    <w:next w:val="1"/>
    <w:semiHidden/>
    <w:unhideWhenUsed/>
    <w:qFormat/>
    <w:uiPriority w:val="39"/>
    <w:pPr>
      <w:spacing w:line="360" w:lineRule="auto"/>
      <w:ind w:left="420"/>
      <w:jc w:val="left"/>
    </w:pPr>
    <w:rPr>
      <w:iCs/>
      <w:sz w:val="24"/>
      <w:szCs w:val="20"/>
    </w:rPr>
  </w:style>
  <w:style w:type="paragraph" w:styleId="11">
    <w:name w:val="Plain Text"/>
    <w:basedOn w:val="1"/>
    <w:link w:val="37"/>
    <w:semiHidden/>
    <w:unhideWhenUsed/>
    <w:qFormat/>
    <w:uiPriority w:val="99"/>
    <w:rPr>
      <w:rFonts w:ascii="楷体_GB2312" w:hAnsi="Courier New" w:eastAsia="楷体_GB2312"/>
      <w:sz w:val="28"/>
      <w:szCs w:val="21"/>
    </w:rPr>
  </w:style>
  <w:style w:type="paragraph" w:styleId="12">
    <w:name w:val="Date"/>
    <w:basedOn w:val="1"/>
    <w:next w:val="1"/>
    <w:link w:val="38"/>
    <w:semiHidden/>
    <w:unhideWhenUsed/>
    <w:qFormat/>
    <w:uiPriority w:val="99"/>
    <w:pPr>
      <w:ind w:left="100" w:leftChars="2500"/>
    </w:pPr>
  </w:style>
  <w:style w:type="paragraph" w:styleId="13">
    <w:name w:val="Body Text Indent 2"/>
    <w:basedOn w:val="1"/>
    <w:semiHidden/>
    <w:unhideWhenUsed/>
    <w:qFormat/>
    <w:uiPriority w:val="99"/>
    <w:pPr>
      <w:spacing w:after="120" w:line="480" w:lineRule="auto"/>
      <w:ind w:left="420" w:leftChars="200"/>
    </w:pPr>
  </w:style>
  <w:style w:type="paragraph" w:styleId="14">
    <w:name w:val="Balloon Text"/>
    <w:basedOn w:val="1"/>
    <w:link w:val="39"/>
    <w:semiHidden/>
    <w:unhideWhenUsed/>
    <w:qFormat/>
    <w:uiPriority w:val="99"/>
    <w:rPr>
      <w:sz w:val="18"/>
      <w:szCs w:val="18"/>
    </w:rPr>
  </w:style>
  <w:style w:type="paragraph" w:styleId="15">
    <w:name w:val="footer"/>
    <w:basedOn w:val="1"/>
    <w:link w:val="40"/>
    <w:semiHidden/>
    <w:unhideWhenUsed/>
    <w:qFormat/>
    <w:uiPriority w:val="99"/>
    <w:pPr>
      <w:tabs>
        <w:tab w:val="center" w:pos="4153"/>
        <w:tab w:val="right" w:pos="8306"/>
      </w:tabs>
      <w:snapToGrid w:val="0"/>
      <w:jc w:val="left"/>
    </w:pPr>
    <w:rPr>
      <w:sz w:val="18"/>
      <w:szCs w:val="18"/>
    </w:rPr>
  </w:style>
  <w:style w:type="paragraph" w:styleId="16">
    <w:name w:val="header"/>
    <w:basedOn w:val="1"/>
    <w:link w:val="41"/>
    <w:semiHidden/>
    <w:unhideWhenUsed/>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7">
    <w:name w:val="toc 1"/>
    <w:basedOn w:val="1"/>
    <w:next w:val="1"/>
    <w:semiHidden/>
    <w:unhideWhenUsed/>
    <w:qFormat/>
    <w:uiPriority w:val="39"/>
    <w:rPr>
      <w:rFonts w:ascii="Calibri" w:hAnsi="Calibri"/>
      <w:szCs w:val="22"/>
    </w:rPr>
  </w:style>
  <w:style w:type="paragraph" w:styleId="18">
    <w:name w:val="Body Text Indent 3"/>
    <w:basedOn w:val="1"/>
    <w:link w:val="42"/>
    <w:semiHidden/>
    <w:unhideWhenUsed/>
    <w:qFormat/>
    <w:uiPriority w:val="99"/>
    <w:pPr>
      <w:spacing w:after="120"/>
      <w:ind w:left="420" w:leftChars="200"/>
    </w:pPr>
    <w:rPr>
      <w:rFonts w:ascii="Calibri" w:hAnsi="Calibri"/>
      <w:sz w:val="16"/>
      <w:szCs w:val="16"/>
    </w:rPr>
  </w:style>
  <w:style w:type="paragraph" w:styleId="1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43"/>
    <w:semiHidden/>
    <w:unhideWhenUsed/>
    <w:qFormat/>
    <w:uiPriority w:val="99"/>
    <w:rPr>
      <w:b/>
      <w:bCs/>
    </w:rPr>
  </w:style>
  <w:style w:type="paragraph" w:styleId="21">
    <w:name w:val="Body Text First Indent"/>
    <w:basedOn w:val="8"/>
    <w:semiHidden/>
    <w:unhideWhenUsed/>
    <w:qFormat/>
    <w:uiPriority w:val="99"/>
    <w:pPr>
      <w:spacing w:after="120"/>
      <w:ind w:firstLine="420" w:firstLineChars="100"/>
    </w:pPr>
    <w:rPr>
      <w:rFonts w:ascii="Times New Roman" w:eastAsia="宋体"/>
      <w:b w:val="0"/>
      <w:bCs w:val="0"/>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har1 Char Char Char Char Char Char Char Char Char"/>
    <w:basedOn w:val="1"/>
    <w:link w:val="24"/>
    <w:qFormat/>
    <w:uiPriority w:val="0"/>
  </w:style>
  <w:style w:type="character" w:styleId="26">
    <w:name w:val="Strong"/>
    <w:qFormat/>
    <w:uiPriority w:val="22"/>
    <w:rPr>
      <w:rFonts w:cs="Times New Roman"/>
      <w:b/>
      <w:bCs/>
    </w:rPr>
  </w:style>
  <w:style w:type="character" w:styleId="27">
    <w:name w:val="page number"/>
    <w:basedOn w:val="24"/>
    <w:semiHidden/>
    <w:unhideWhenUsed/>
    <w:qFormat/>
    <w:uiPriority w:val="99"/>
  </w:style>
  <w:style w:type="character" w:styleId="28">
    <w:name w:val="FollowedHyperlink"/>
    <w:semiHidden/>
    <w:unhideWhenUsed/>
    <w:qFormat/>
    <w:uiPriority w:val="99"/>
    <w:rPr>
      <w:color w:val="800080"/>
      <w:u w:val="single"/>
    </w:rPr>
  </w:style>
  <w:style w:type="character" w:styleId="29">
    <w:name w:val="Hyperlink"/>
    <w:semiHidden/>
    <w:unhideWhenUsed/>
    <w:qFormat/>
    <w:uiPriority w:val="99"/>
    <w:rPr>
      <w:rFonts w:cs="Times New Roman"/>
      <w:color w:val="0000FF"/>
      <w:u w:val="single"/>
    </w:rPr>
  </w:style>
  <w:style w:type="character" w:styleId="30">
    <w:name w:val="annotation reference"/>
    <w:semiHidden/>
    <w:unhideWhenUsed/>
    <w:qFormat/>
    <w:uiPriority w:val="99"/>
    <w:rPr>
      <w:sz w:val="21"/>
      <w:szCs w:val="21"/>
    </w:rPr>
  </w:style>
  <w:style w:type="character" w:customStyle="1" w:styleId="31">
    <w:name w:val="标题 1 Char"/>
    <w:link w:val="2"/>
    <w:qFormat/>
    <w:locked/>
    <w:uiPriority w:val="0"/>
    <w:rPr>
      <w:rFonts w:ascii="Calibri" w:hAnsi="Calibri" w:eastAsia="宋体"/>
      <w:sz w:val="18"/>
      <w:lang w:bidi="ar-SA"/>
    </w:rPr>
  </w:style>
  <w:style w:type="character" w:customStyle="1" w:styleId="32">
    <w:name w:val="标题 2 Char"/>
    <w:link w:val="3"/>
    <w:qFormat/>
    <w:uiPriority w:val="0"/>
    <w:rPr>
      <w:rFonts w:ascii="Arial" w:hAnsi="Arial" w:eastAsia="黑体"/>
      <w:b/>
      <w:bCs/>
      <w:kern w:val="2"/>
      <w:sz w:val="32"/>
      <w:szCs w:val="32"/>
      <w:lang w:val="en-US" w:eastAsia="zh-CN" w:bidi="ar-SA"/>
    </w:rPr>
  </w:style>
  <w:style w:type="character" w:customStyle="1" w:styleId="33">
    <w:name w:val="标题 3 Char"/>
    <w:link w:val="4"/>
    <w:semiHidden/>
    <w:qFormat/>
    <w:locked/>
    <w:uiPriority w:val="0"/>
    <w:rPr>
      <w:rFonts w:eastAsia="仿宋_GB2312"/>
      <w:bCs/>
      <w:kern w:val="2"/>
      <w:sz w:val="32"/>
      <w:szCs w:val="32"/>
      <w:lang w:val="en-US" w:eastAsia="zh-CN" w:bidi="ar-SA"/>
    </w:rPr>
  </w:style>
  <w:style w:type="character" w:customStyle="1" w:styleId="34">
    <w:name w:val="文档结构图 Char"/>
    <w:link w:val="6"/>
    <w:semiHidden/>
    <w:qFormat/>
    <w:locked/>
    <w:uiPriority w:val="0"/>
    <w:rPr>
      <w:rFonts w:eastAsia="宋体"/>
      <w:kern w:val="2"/>
      <w:sz w:val="21"/>
      <w:szCs w:val="24"/>
      <w:lang w:val="en-US" w:eastAsia="zh-CN" w:bidi="ar-SA"/>
    </w:rPr>
  </w:style>
  <w:style w:type="character" w:customStyle="1" w:styleId="35">
    <w:name w:val="批注文字 Char"/>
    <w:link w:val="7"/>
    <w:qFormat/>
    <w:uiPriority w:val="0"/>
    <w:rPr>
      <w:kern w:val="2"/>
      <w:sz w:val="21"/>
      <w:szCs w:val="24"/>
    </w:rPr>
  </w:style>
  <w:style w:type="character" w:customStyle="1" w:styleId="36">
    <w:name w:val="正文文本缩进 Char"/>
    <w:link w:val="9"/>
    <w:qFormat/>
    <w:locked/>
    <w:uiPriority w:val="0"/>
    <w:rPr>
      <w:rFonts w:eastAsia="宋体"/>
      <w:kern w:val="2"/>
      <w:sz w:val="21"/>
      <w:szCs w:val="24"/>
      <w:lang w:val="en-US" w:eastAsia="zh-CN" w:bidi="ar-SA"/>
    </w:rPr>
  </w:style>
  <w:style w:type="character" w:customStyle="1" w:styleId="37">
    <w:name w:val="纯文本 Char"/>
    <w:link w:val="11"/>
    <w:qFormat/>
    <w:uiPriority w:val="0"/>
    <w:rPr>
      <w:rFonts w:ascii="楷体_GB2312" w:hAnsi="Courier New" w:eastAsia="楷体_GB2312"/>
      <w:kern w:val="2"/>
      <w:sz w:val="28"/>
      <w:szCs w:val="21"/>
      <w:lang w:bidi="ar-SA"/>
    </w:rPr>
  </w:style>
  <w:style w:type="character" w:customStyle="1" w:styleId="38">
    <w:name w:val="日期 Char"/>
    <w:link w:val="12"/>
    <w:semiHidden/>
    <w:qFormat/>
    <w:uiPriority w:val="0"/>
    <w:rPr>
      <w:rFonts w:eastAsia="宋体"/>
      <w:kern w:val="2"/>
      <w:sz w:val="21"/>
      <w:szCs w:val="24"/>
      <w:lang w:val="en-US" w:eastAsia="zh-CN" w:bidi="ar-SA"/>
    </w:rPr>
  </w:style>
  <w:style w:type="character" w:customStyle="1" w:styleId="39">
    <w:name w:val="批注框文本 Char"/>
    <w:link w:val="14"/>
    <w:semiHidden/>
    <w:qFormat/>
    <w:locked/>
    <w:uiPriority w:val="0"/>
    <w:rPr>
      <w:rFonts w:eastAsia="宋体"/>
      <w:kern w:val="2"/>
      <w:sz w:val="18"/>
      <w:szCs w:val="18"/>
      <w:lang w:val="en-US" w:eastAsia="zh-CN" w:bidi="ar-SA"/>
    </w:rPr>
  </w:style>
  <w:style w:type="character" w:customStyle="1" w:styleId="40">
    <w:name w:val="页脚 Char1"/>
    <w:link w:val="15"/>
    <w:semiHidden/>
    <w:qFormat/>
    <w:locked/>
    <w:uiPriority w:val="0"/>
    <w:rPr>
      <w:rFonts w:eastAsia="宋体"/>
      <w:kern w:val="2"/>
      <w:sz w:val="18"/>
      <w:szCs w:val="18"/>
      <w:lang w:val="en-US" w:eastAsia="zh-CN" w:bidi="ar-SA"/>
    </w:rPr>
  </w:style>
  <w:style w:type="character" w:customStyle="1" w:styleId="41">
    <w:name w:val="页眉 Char1"/>
    <w:link w:val="16"/>
    <w:semiHidden/>
    <w:qFormat/>
    <w:locked/>
    <w:uiPriority w:val="0"/>
    <w:rPr>
      <w:rFonts w:ascii="Calibri" w:hAnsi="Calibri" w:eastAsia="宋体" w:cs="Calibri"/>
      <w:kern w:val="2"/>
      <w:sz w:val="18"/>
      <w:szCs w:val="18"/>
      <w:lang w:val="en-US" w:eastAsia="zh-CN" w:bidi="ar-SA"/>
    </w:rPr>
  </w:style>
  <w:style w:type="character" w:customStyle="1" w:styleId="42">
    <w:name w:val="正文文本缩进 3 Char"/>
    <w:link w:val="18"/>
    <w:qFormat/>
    <w:locked/>
    <w:uiPriority w:val="0"/>
    <w:rPr>
      <w:rFonts w:ascii="Calibri" w:hAnsi="Calibri" w:eastAsia="宋体"/>
      <w:kern w:val="2"/>
      <w:sz w:val="16"/>
      <w:szCs w:val="16"/>
      <w:lang w:val="en-US" w:eastAsia="zh-CN" w:bidi="ar-SA"/>
    </w:rPr>
  </w:style>
  <w:style w:type="character" w:customStyle="1" w:styleId="43">
    <w:name w:val="批注主题 Char"/>
    <w:link w:val="20"/>
    <w:qFormat/>
    <w:uiPriority w:val="0"/>
    <w:rPr>
      <w:b/>
      <w:bCs/>
      <w:kern w:val="2"/>
      <w:sz w:val="21"/>
      <w:szCs w:val="24"/>
    </w:rPr>
  </w:style>
  <w:style w:type="paragraph" w:customStyle="1" w:styleId="44">
    <w:name w:val="No Spacing"/>
    <w:qFormat/>
    <w:uiPriority w:val="0"/>
    <w:pPr>
      <w:widowControl w:val="0"/>
      <w:jc w:val="both"/>
    </w:pPr>
    <w:rPr>
      <w:rFonts w:ascii="Calibri" w:hAnsi="Calibri" w:eastAsia="宋体" w:cs="Calibri"/>
      <w:kern w:val="2"/>
      <w:sz w:val="21"/>
      <w:szCs w:val="21"/>
      <w:lang w:val="en-US" w:eastAsia="zh-CN" w:bidi="ar-SA"/>
    </w:rPr>
  </w:style>
  <w:style w:type="paragraph" w:customStyle="1" w:styleId="45">
    <w:name w:val="List Paragraph1"/>
    <w:basedOn w:val="1"/>
    <w:qFormat/>
    <w:uiPriority w:val="0"/>
    <w:pPr>
      <w:ind w:firstLine="420" w:firstLineChars="200"/>
    </w:pPr>
    <w:rPr>
      <w:rFonts w:ascii="Calibri" w:hAnsi="Calibri" w:cs="Calibri"/>
      <w:szCs w:val="21"/>
    </w:rPr>
  </w:style>
  <w:style w:type="character" w:customStyle="1" w:styleId="46">
    <w:name w:val="Book Title"/>
    <w:qFormat/>
    <w:uiPriority w:val="0"/>
    <w:rPr>
      <w:b/>
      <w:bCs/>
      <w:smallCaps/>
      <w:spacing w:val="5"/>
    </w:rPr>
  </w:style>
  <w:style w:type="paragraph" w:styleId="47">
    <w:name w:val="List Paragraph"/>
    <w:basedOn w:val="1"/>
    <w:semiHidden/>
    <w:unhideWhenUsed/>
    <w:qFormat/>
    <w:uiPriority w:val="99"/>
    <w:pPr>
      <w:spacing w:line="360" w:lineRule="auto"/>
      <w:ind w:firstLine="420" w:firstLineChars="200"/>
      <w:jc w:val="left"/>
    </w:pPr>
    <w:rPr>
      <w:rFonts w:ascii="Calibri" w:hAnsi="Calibri"/>
      <w:sz w:val="24"/>
      <w:szCs w:val="21"/>
    </w:rPr>
  </w:style>
  <w:style w:type="paragraph" w:customStyle="1" w:styleId="48">
    <w:name w:val="封面标题"/>
    <w:qFormat/>
    <w:uiPriority w:val="0"/>
    <w:pPr>
      <w:tabs>
        <w:tab w:val="left" w:pos="1290"/>
      </w:tabs>
      <w:spacing w:line="360" w:lineRule="auto"/>
      <w:jc w:val="center"/>
    </w:pPr>
    <w:rPr>
      <w:rFonts w:ascii="Calibri" w:hAnsi="Calibri" w:eastAsia="黑体" w:cs="Times New Roman"/>
      <w:kern w:val="2"/>
      <w:sz w:val="44"/>
      <w:szCs w:val="21"/>
      <w:lang w:val="en-US" w:eastAsia="zh-CN" w:bidi="ar-SA"/>
    </w:rPr>
  </w:style>
  <w:style w:type="paragraph" w:customStyle="1" w:styleId="4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0">
    <w:name w:val=" Char Char Char Char Char"/>
    <w:basedOn w:val="1"/>
    <w:qFormat/>
    <w:uiPriority w:val="0"/>
    <w:rPr>
      <w:rFonts w:ascii="Tahoma" w:hAnsi="Tahoma"/>
      <w:sz w:val="24"/>
      <w:szCs w:val="20"/>
    </w:rPr>
  </w:style>
  <w:style w:type="character" w:customStyle="1" w:styleId="51">
    <w:name w:val="txt181"/>
    <w:qFormat/>
    <w:uiPriority w:val="0"/>
    <w:rPr>
      <w:rFonts w:hint="eastAsia" w:ascii="宋体" w:hAnsi="宋体" w:eastAsia="宋体"/>
      <w:b/>
      <w:bCs/>
      <w:color w:val="003CC8"/>
      <w:sz w:val="39"/>
      <w:szCs w:val="39"/>
      <w:u w:val="none"/>
    </w:rPr>
  </w:style>
  <w:style w:type="paragraph" w:customStyle="1" w:styleId="52">
    <w:name w:val=" Char1 Char Char Char Char Char Char Char Char Char"/>
    <w:basedOn w:val="1"/>
    <w:qFormat/>
    <w:uiPriority w:val="0"/>
  </w:style>
  <w:style w:type="character" w:customStyle="1" w:styleId="53">
    <w:name w:val="ca-51"/>
    <w:qFormat/>
    <w:uiPriority w:val="0"/>
    <w:rPr>
      <w:rFonts w:hint="eastAsia" w:ascii="仿宋_GB2312" w:eastAsia="仿宋_GB2312"/>
      <w:sz w:val="32"/>
      <w:szCs w:val="32"/>
    </w:rPr>
  </w:style>
  <w:style w:type="character" w:customStyle="1" w:styleId="54">
    <w:name w:val="zhenwen"/>
    <w:basedOn w:val="24"/>
    <w:qFormat/>
    <w:uiPriority w:val="0"/>
  </w:style>
  <w:style w:type="character" w:customStyle="1" w:styleId="55">
    <w:name w:val="apple-style-span"/>
    <w:basedOn w:val="24"/>
    <w:qFormat/>
    <w:uiPriority w:val="0"/>
  </w:style>
  <w:style w:type="paragraph" w:customStyle="1" w:styleId="56">
    <w:name w:val="cas_cont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font5"/>
    <w:basedOn w:val="1"/>
    <w:qFormat/>
    <w:uiPriority w:val="0"/>
    <w:pPr>
      <w:widowControl/>
      <w:spacing w:before="100" w:beforeAutospacing="1" w:after="100" w:afterAutospacing="1"/>
      <w:jc w:val="left"/>
    </w:pPr>
    <w:rPr>
      <w:kern w:val="0"/>
      <w:sz w:val="20"/>
      <w:szCs w:val="20"/>
    </w:rPr>
  </w:style>
  <w:style w:type="paragraph" w:customStyle="1" w:styleId="5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4">
    <w:name w:val="xl71"/>
    <w:basedOn w:val="1"/>
    <w:qFormat/>
    <w:uiPriority w:val="0"/>
    <w:pPr>
      <w:widowControl/>
      <w:spacing w:before="100" w:beforeAutospacing="1" w:after="100" w:afterAutospacing="1"/>
      <w:jc w:val="left"/>
      <w:textAlignment w:val="center"/>
    </w:pPr>
    <w:rPr>
      <w:b/>
      <w:bCs/>
      <w:kern w:val="0"/>
      <w:sz w:val="24"/>
    </w:rPr>
  </w:style>
  <w:style w:type="paragraph" w:customStyle="1" w:styleId="65">
    <w:name w:val="xl7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7">
    <w:name w:val="xl74"/>
    <w:basedOn w:val="1"/>
    <w:qFormat/>
    <w:uiPriority w:val="0"/>
    <w:pPr>
      <w:widowControl/>
      <w:spacing w:before="100" w:beforeAutospacing="1" w:after="100" w:afterAutospacing="1"/>
      <w:jc w:val="center"/>
      <w:textAlignment w:val="center"/>
    </w:pPr>
    <w:rPr>
      <w:kern w:val="0"/>
      <w:sz w:val="24"/>
    </w:rPr>
  </w:style>
  <w:style w:type="paragraph" w:customStyle="1" w:styleId="68">
    <w:name w:val="xl75"/>
    <w:basedOn w:val="1"/>
    <w:qFormat/>
    <w:uiPriority w:val="0"/>
    <w:pPr>
      <w:widowControl/>
      <w:spacing w:before="100" w:beforeAutospacing="1" w:after="100" w:afterAutospacing="1"/>
      <w:jc w:val="left"/>
      <w:textAlignment w:val="center"/>
    </w:pPr>
    <w:rPr>
      <w:kern w:val="0"/>
      <w:sz w:val="24"/>
    </w:rPr>
  </w:style>
  <w:style w:type="paragraph" w:customStyle="1" w:styleId="69">
    <w:name w:val="xl76"/>
    <w:basedOn w:val="1"/>
    <w:qFormat/>
    <w:uiPriority w:val="0"/>
    <w:pPr>
      <w:widowControl/>
      <w:spacing w:before="100" w:beforeAutospacing="1" w:after="100" w:afterAutospacing="1"/>
      <w:jc w:val="left"/>
      <w:textAlignment w:val="center"/>
    </w:pPr>
    <w:rPr>
      <w:kern w:val="0"/>
      <w:sz w:val="24"/>
    </w:rPr>
  </w:style>
  <w:style w:type="paragraph" w:customStyle="1" w:styleId="70">
    <w:name w:val="xl77"/>
    <w:basedOn w:val="1"/>
    <w:qFormat/>
    <w:uiPriority w:val="0"/>
    <w:pPr>
      <w:widowControl/>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71">
    <w:name w:val="xl78"/>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73">
    <w:name w:val="xl8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8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20"/>
      <w:szCs w:val="20"/>
    </w:rPr>
  </w:style>
  <w:style w:type="paragraph" w:customStyle="1" w:styleId="90">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9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3">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95">
    <w:name w:val="主题词"/>
    <w:basedOn w:val="1"/>
    <w:qFormat/>
    <w:uiPriority w:val="0"/>
    <w:pPr>
      <w:spacing w:before="74" w:after="74"/>
      <w:ind w:left="1247" w:hanging="1247"/>
    </w:pPr>
    <w:rPr>
      <w:rFonts w:eastAsia="公文小标宋简"/>
      <w:sz w:val="32"/>
      <w:szCs w:val="20"/>
    </w:rPr>
  </w:style>
  <w:style w:type="character" w:customStyle="1" w:styleId="96">
    <w:name w:val=" Char Char6"/>
    <w:qFormat/>
    <w:uiPriority w:val="0"/>
    <w:rPr>
      <w:rFonts w:ascii="Arial" w:hAnsi="Arial" w:eastAsia="黑体"/>
      <w:b/>
      <w:bCs/>
      <w:kern w:val="2"/>
      <w:sz w:val="32"/>
      <w:szCs w:val="32"/>
      <w:lang w:val="en-US" w:eastAsia="zh-CN" w:bidi="ar-SA"/>
    </w:rPr>
  </w:style>
  <w:style w:type="paragraph" w:customStyle="1" w:styleId="97">
    <w:name w:val=" Char Char Char Char"/>
    <w:basedOn w:val="1"/>
    <w:qFormat/>
    <w:uiPriority w:val="0"/>
  </w:style>
  <w:style w:type="character" w:customStyle="1" w:styleId="98">
    <w:name w:val=" Char Char5"/>
    <w:qFormat/>
    <w:uiPriority w:val="0"/>
    <w:rPr>
      <w:rFonts w:eastAsia="宋体"/>
      <w:kern w:val="2"/>
      <w:sz w:val="21"/>
      <w:szCs w:val="24"/>
      <w:lang w:val="en-US" w:eastAsia="zh-CN" w:bidi="ar-SA"/>
    </w:rPr>
  </w:style>
  <w:style w:type="paragraph" w:customStyle="1" w:styleId="99">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Normal_2"/>
    <w:qFormat/>
    <w:uiPriority w:val="0"/>
    <w:pPr>
      <w:spacing w:before="120" w:after="240"/>
      <w:jc w:val="both"/>
    </w:pPr>
    <w:rPr>
      <w:rFonts w:ascii="Calibri" w:hAnsi="Calibri" w:eastAsia="Calibri" w:cs="Times New Roman"/>
      <w:sz w:val="22"/>
      <w:szCs w:val="22"/>
      <w:lang w:val="ru-RU" w:eastAsia="en-US" w:bidi="ar-SA"/>
    </w:rPr>
  </w:style>
  <w:style w:type="character" w:customStyle="1" w:styleId="101">
    <w:name w:val="Heading 1 Char"/>
    <w:qFormat/>
    <w:locked/>
    <w:uiPriority w:val="0"/>
    <w:rPr>
      <w:rFonts w:eastAsia="宋体"/>
      <w:b/>
      <w:bCs/>
      <w:kern w:val="44"/>
      <w:sz w:val="44"/>
      <w:szCs w:val="44"/>
      <w:lang w:val="en-US" w:eastAsia="zh-CN" w:bidi="ar-SA"/>
    </w:rPr>
  </w:style>
  <w:style w:type="paragraph" w:customStyle="1" w:styleId="102">
    <w:name w:val="样式 宋体 四号"/>
    <w:basedOn w:val="1"/>
    <w:qFormat/>
    <w:uiPriority w:val="0"/>
    <w:pPr>
      <w:ind w:firstLine="560" w:firstLineChars="200"/>
    </w:pPr>
    <w:rPr>
      <w:rFonts w:ascii="宋体" w:hAnsi="宋体" w:cs="宋体"/>
      <w:sz w:val="28"/>
      <w:szCs w:val="28"/>
    </w:rPr>
  </w:style>
  <w:style w:type="paragraph" w:customStyle="1" w:styleId="103">
    <w:name w:val="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4">
    <w:name w:val="标准"/>
    <w:qFormat/>
    <w:uiPriority w:val="0"/>
    <w:pPr>
      <w:widowControl w:val="0"/>
      <w:autoSpaceDE w:val="0"/>
      <w:autoSpaceDN w:val="0"/>
      <w:adjustRightInd w:val="0"/>
    </w:pPr>
    <w:rPr>
      <w:rFonts w:ascii="黑体" w:hAnsi="黑体" w:eastAsia="黑体" w:cs="黑体"/>
      <w:color w:val="000000"/>
      <w:sz w:val="21"/>
      <w:szCs w:val="21"/>
      <w:lang w:val="en-US" w:eastAsia="en-US" w:bidi="ar-SA"/>
    </w:rPr>
  </w:style>
  <w:style w:type="paragraph" w:customStyle="1" w:styleId="105">
    <w:name w:val="样式 标题 3 + 宋体 小四 段前: 3.9 磅 段后: 3.9 磅 行距: 固定值 17 磅"/>
    <w:basedOn w:val="4"/>
    <w:qFormat/>
    <w:uiPriority w:val="0"/>
    <w:pPr>
      <w:ind w:firstLine="627" w:firstLineChars="196"/>
      <w:jc w:val="both"/>
    </w:pPr>
    <w:rPr>
      <w:rFonts w:ascii="黑体" w:eastAsia="黑体"/>
      <w:kern w:val="0"/>
    </w:rPr>
  </w:style>
  <w:style w:type="character" w:customStyle="1" w:styleId="106">
    <w:name w:val="Plain Text Char"/>
    <w:qFormat/>
    <w:locked/>
    <w:uiPriority w:val="0"/>
    <w:rPr>
      <w:rFonts w:ascii="宋体" w:hAnsi="Courier New" w:eastAsia="宋体" w:cs="Courier New"/>
      <w:kern w:val="2"/>
      <w:sz w:val="21"/>
      <w:szCs w:val="21"/>
      <w:lang w:val="en-US" w:eastAsia="zh-CN" w:bidi="ar-SA"/>
    </w:rPr>
  </w:style>
  <w:style w:type="paragraph" w:customStyle="1" w:styleId="107">
    <w:name w:val="Style1"/>
    <w:basedOn w:val="1"/>
    <w:qFormat/>
    <w:uiPriority w:val="0"/>
    <w:pPr>
      <w:adjustRightInd w:val="0"/>
      <w:spacing w:line="581" w:lineRule="exact"/>
    </w:pPr>
    <w:rPr>
      <w:rFonts w:ascii="黑体" w:eastAsia="黑体"/>
      <w:kern w:val="0"/>
      <w:sz w:val="24"/>
    </w:rPr>
  </w:style>
  <w:style w:type="character" w:customStyle="1" w:styleId="108">
    <w:name w:val="Font Style11"/>
    <w:qFormat/>
    <w:uiPriority w:val="0"/>
    <w:rPr>
      <w:rFonts w:ascii="MingLiU" w:eastAsia="MingLiU" w:cs="MingLiU"/>
      <w:spacing w:val="20"/>
      <w:sz w:val="28"/>
      <w:szCs w:val="28"/>
    </w:rPr>
  </w:style>
  <w:style w:type="character" w:customStyle="1" w:styleId="109">
    <w:name w:val="Font Style12"/>
    <w:qFormat/>
    <w:uiPriority w:val="0"/>
    <w:rPr>
      <w:rFonts w:ascii="Times New Roman" w:hAnsi="Times New Roman" w:cs="Times New Roman"/>
      <w:b/>
      <w:bCs/>
      <w:sz w:val="30"/>
      <w:szCs w:val="30"/>
    </w:rPr>
  </w:style>
  <w:style w:type="character" w:customStyle="1" w:styleId="110">
    <w:name w:val="Font Style15"/>
    <w:qFormat/>
    <w:uiPriority w:val="0"/>
    <w:rPr>
      <w:rFonts w:ascii="黑体" w:eastAsia="黑体" w:cs="黑体"/>
      <w:sz w:val="30"/>
      <w:szCs w:val="30"/>
    </w:rPr>
  </w:style>
  <w:style w:type="character" w:customStyle="1" w:styleId="111">
    <w:name w:val="Font Style16"/>
    <w:qFormat/>
    <w:uiPriority w:val="0"/>
    <w:rPr>
      <w:rFonts w:ascii="黑体" w:eastAsia="黑体" w:cs="黑体"/>
      <w:spacing w:val="10"/>
      <w:sz w:val="30"/>
      <w:szCs w:val="30"/>
    </w:rPr>
  </w:style>
  <w:style w:type="character" w:customStyle="1" w:styleId="112">
    <w:name w:val="段落1 Char Char"/>
    <w:link w:val="113"/>
    <w:qFormat/>
    <w:uiPriority w:val="0"/>
    <w:rPr>
      <w:rFonts w:eastAsia="仿宋_GB2312"/>
      <w:kern w:val="2"/>
      <w:sz w:val="28"/>
      <w:szCs w:val="24"/>
      <w:lang w:val="en-US" w:eastAsia="zh-CN" w:bidi="ar-SA"/>
    </w:rPr>
  </w:style>
  <w:style w:type="paragraph" w:customStyle="1" w:styleId="113">
    <w:name w:val="段落1"/>
    <w:basedOn w:val="1"/>
    <w:link w:val="112"/>
    <w:qFormat/>
    <w:uiPriority w:val="0"/>
    <w:pPr>
      <w:ind w:firstLine="560" w:firstLineChars="200"/>
    </w:pPr>
    <w:rPr>
      <w:rFonts w:eastAsia="仿宋_GB2312"/>
      <w:sz w:val="28"/>
    </w:rPr>
  </w:style>
  <w:style w:type="paragraph" w:customStyle="1" w:styleId="114">
    <w:name w:val="图表文字"/>
    <w:basedOn w:val="1"/>
    <w:link w:val="115"/>
    <w:qFormat/>
    <w:uiPriority w:val="0"/>
    <w:pPr>
      <w:widowControl/>
      <w:spacing w:line="360" w:lineRule="auto"/>
      <w:jc w:val="center"/>
    </w:pPr>
    <w:rPr>
      <w:rFonts w:hAnsi="宋体"/>
      <w:kern w:val="0"/>
    </w:rPr>
  </w:style>
  <w:style w:type="character" w:customStyle="1" w:styleId="115">
    <w:name w:val="图表文字 Char"/>
    <w:link w:val="114"/>
    <w:qFormat/>
    <w:uiPriority w:val="0"/>
    <w:rPr>
      <w:rFonts w:hAnsi="宋体" w:eastAsia="宋体"/>
      <w:sz w:val="21"/>
      <w:szCs w:val="24"/>
      <w:lang w:bidi="ar-SA"/>
    </w:rPr>
  </w:style>
  <w:style w:type="character" w:customStyle="1" w:styleId="116">
    <w:name w:val="内封中 Char"/>
    <w:link w:val="117"/>
    <w:qFormat/>
    <w:uiPriority w:val="0"/>
    <w:rPr>
      <w:rFonts w:ascii="宋体" w:hAnsi="宋体" w:eastAsia="宋体"/>
      <w:kern w:val="2"/>
      <w:sz w:val="24"/>
      <w:szCs w:val="28"/>
      <w:lang w:val="en-US" w:eastAsia="zh-CN" w:bidi="ar-SA"/>
    </w:rPr>
  </w:style>
  <w:style w:type="paragraph" w:customStyle="1" w:styleId="117">
    <w:name w:val="内封中"/>
    <w:basedOn w:val="1"/>
    <w:link w:val="116"/>
    <w:qFormat/>
    <w:uiPriority w:val="0"/>
    <w:pPr>
      <w:spacing w:line="240" w:lineRule="atLeast"/>
      <w:ind w:left="4" w:leftChars="2" w:firstLine="540" w:firstLineChars="225"/>
      <w:jc w:val="left"/>
    </w:pPr>
    <w:rPr>
      <w:rFonts w:ascii="宋体" w:hAnsi="宋体"/>
      <w:sz w:val="24"/>
      <w:szCs w:val="28"/>
    </w:rPr>
  </w:style>
  <w:style w:type="paragraph" w:customStyle="1" w:styleId="11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 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20">
    <w:name w:val="p0"/>
    <w:basedOn w:val="1"/>
    <w:qFormat/>
    <w:uiPriority w:val="0"/>
    <w:pPr>
      <w:widowControl/>
    </w:pPr>
    <w:rPr>
      <w:kern w:val="0"/>
      <w:szCs w:val="21"/>
    </w:rPr>
  </w:style>
  <w:style w:type="paragraph" w:customStyle="1" w:styleId="121">
    <w:name w:val="正文1"/>
    <w:basedOn w:val="1"/>
    <w:link w:val="122"/>
    <w:qFormat/>
    <w:uiPriority w:val="0"/>
    <w:pPr>
      <w:spacing w:line="480" w:lineRule="exact"/>
      <w:ind w:firstLine="562" w:firstLineChars="200"/>
    </w:pPr>
    <w:rPr>
      <w:rFonts w:ascii="仿宋_GB2312" w:hAnsi="宋体" w:eastAsia="仿宋_GB2312" w:cs="宋体"/>
      <w:bCs/>
      <w:sz w:val="28"/>
      <w:szCs w:val="28"/>
    </w:rPr>
  </w:style>
  <w:style w:type="character" w:customStyle="1" w:styleId="122">
    <w:name w:val="正文1 Char Char"/>
    <w:link w:val="121"/>
    <w:qFormat/>
    <w:uiPriority w:val="0"/>
    <w:rPr>
      <w:rFonts w:ascii="仿宋_GB2312" w:hAnsi="宋体" w:eastAsia="仿宋_GB2312" w:cs="宋体"/>
      <w:bCs/>
      <w:kern w:val="2"/>
      <w:sz w:val="28"/>
      <w:szCs w:val="28"/>
      <w:lang w:val="en-US" w:eastAsia="zh-CN" w:bidi="ar-SA"/>
    </w:rPr>
  </w:style>
  <w:style w:type="character" w:customStyle="1" w:styleId="123">
    <w:name w:val="页脚 Char"/>
    <w:semiHidden/>
    <w:qFormat/>
    <w:uiPriority w:val="0"/>
    <w:rPr>
      <w:rFonts w:eastAsia="宋体"/>
      <w:kern w:val="2"/>
      <w:sz w:val="18"/>
      <w:szCs w:val="18"/>
      <w:lang w:val="en-US" w:eastAsia="zh-CN" w:bidi="ar-SA"/>
    </w:rPr>
  </w:style>
  <w:style w:type="character" w:customStyle="1" w:styleId="124">
    <w:name w:val="页眉 Char"/>
    <w:semiHidden/>
    <w:qFormat/>
    <w:uiPriority w:val="0"/>
    <w:rPr>
      <w:rFonts w:eastAsia="宋体"/>
      <w:kern w:val="2"/>
      <w:sz w:val="18"/>
      <w:szCs w:val="18"/>
      <w:lang w:val="en-US" w:eastAsia="zh-CN" w:bidi="ar-SA"/>
    </w:rPr>
  </w:style>
  <w:style w:type="paragraph" w:customStyle="1" w:styleId="125">
    <w:name w:val=" Char Char Char Char Zchn Zchn Char Char"/>
    <w:basedOn w:val="6"/>
    <w:qFormat/>
    <w:uiPriority w:val="0"/>
    <w:pPr>
      <w:adjustRightInd w:val="0"/>
      <w:spacing w:line="436" w:lineRule="exact"/>
      <w:ind w:left="357"/>
      <w:jc w:val="left"/>
      <w:outlineLvl w:val="3"/>
    </w:pPr>
    <w:rPr>
      <w:rFonts w:ascii="Tahoma" w:hAnsi="Tahoma"/>
      <w:b/>
      <w:sz w:val="24"/>
    </w:rPr>
  </w:style>
  <w:style w:type="character" w:customStyle="1" w:styleId="126">
    <w:name w:val="Subtle Emphasis"/>
    <w:qFormat/>
    <w:uiPriority w:val="0"/>
    <w:rPr>
      <w:i/>
      <w:color w:val="808080"/>
    </w:rPr>
  </w:style>
  <w:style w:type="character" w:customStyle="1" w:styleId="127">
    <w:name w:val="15"/>
    <w:qFormat/>
    <w:uiPriority w:val="0"/>
    <w:rPr>
      <w:rFonts w:hint="default" w:ascii="Times New Roman" w:hAnsi="Times New Roman" w:cs="Times New Roman"/>
      <w:color w:val="0000FF"/>
      <w:u w:val="single"/>
    </w:rPr>
  </w:style>
  <w:style w:type="character" w:customStyle="1" w:styleId="128">
    <w:name w:val=" Char Char2"/>
    <w:qFormat/>
    <w:locked/>
    <w:uiPriority w:val="0"/>
    <w:rPr>
      <w:rFonts w:eastAsia="仿宋"/>
      <w:kern w:val="2"/>
      <w:sz w:val="18"/>
      <w:szCs w:val="18"/>
      <w:lang w:val="en-US" w:eastAsia="zh-CN" w:bidi="ar-SA"/>
    </w:rPr>
  </w:style>
  <w:style w:type="character" w:customStyle="1" w:styleId="129">
    <w:name w:val=" Char Char1"/>
    <w:semiHidden/>
    <w:qFormat/>
    <w:locked/>
    <w:uiPriority w:val="0"/>
    <w:rPr>
      <w:rFonts w:eastAsia="仿宋"/>
      <w:kern w:val="2"/>
      <w:sz w:val="18"/>
      <w:szCs w:val="18"/>
      <w:lang w:val="en-US" w:eastAsia="zh-CN" w:bidi="ar-SA"/>
    </w:rPr>
  </w:style>
  <w:style w:type="paragraph" w:customStyle="1" w:styleId="130">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table" w:customStyle="1" w:styleId="131">
    <w:name w:val="Table Grid_0"/>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列出段落1"/>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2618</Words>
  <Characters>2700</Characters>
  <Lines>1</Lines>
  <Paragraphs>1</Paragraphs>
  <TotalTime>5</TotalTime>
  <ScaleCrop>false</ScaleCrop>
  <LinksUpToDate>false</LinksUpToDate>
  <CharactersWithSpaces>2702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2022-03-20T01:31:00Z</dcterms:created>
  <dc:creator>王丽</dc:creator>
  <cp:lastModifiedBy>liangl8816</cp:lastModifiedBy>
  <cp:lastPrinted>2026-03-13T18:08:00Z</cp:lastPrinted>
  <dcterms:modified xsi:type="dcterms:W3CDTF">2026-03-13T08:52:00Z</dcterms:modified>
  <dc:title>湖南省国土资源厅办公室文件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A290207C87A5423B83F5EEC82C57389B_13</vt:lpwstr>
  </property>
  <property fmtid="{D5CDD505-2E9C-101B-9397-08002B2CF9AE}" pid="3" name="KSOProductBuildVer">
    <vt:lpwstr>2052-12.1.0.25225</vt:lpwstr>
  </property>
</Properties>
</file>