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2E22F8EB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0458B18E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211CB769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4DB3B6E2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val="en-US" w:eastAsia="zh-CN" w:bidi="ar"/>
        </w:rPr>
        <w:t xml:space="preserve">  长沙市精图测绘科技有限公司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  <w:color w:val="auto"/>
        </w:rPr>
      </w:pPr>
    </w:p>
    <w:p w14:paraId="6A59A0C8">
      <w:pPr>
        <w:rPr>
          <w:rFonts w:hint="default" w:ascii="Times New Roman" w:hAnsi="Times New Roman" w:cs="Times New Roman"/>
          <w:color w:val="auto"/>
        </w:rPr>
      </w:pPr>
    </w:p>
    <w:p w14:paraId="0A158444">
      <w:pPr>
        <w:rPr>
          <w:rFonts w:hint="default" w:ascii="Times New Roman" w:hAnsi="Times New Roman" w:cs="Times New Roman"/>
          <w:color w:val="auto"/>
        </w:rPr>
      </w:pPr>
    </w:p>
    <w:p w14:paraId="57592961">
      <w:pPr>
        <w:rPr>
          <w:rFonts w:hint="default" w:ascii="Times New Roman" w:hAnsi="Times New Roman" w:cs="Times New Roman"/>
          <w:color w:val="auto"/>
        </w:rPr>
      </w:pPr>
    </w:p>
    <w:p w14:paraId="147E940F">
      <w:pPr>
        <w:rPr>
          <w:rFonts w:hint="default" w:ascii="Times New Roman" w:hAnsi="Times New Roman" w:cs="Times New Roman"/>
          <w:color w:val="auto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color w:val="auto"/>
          <w:sz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color w:val="auto"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3D3AEE79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资质等级类别</w:t>
      </w: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长沙市精图测绘科技有限公司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民营企业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湖南省长沙市天心区南托街道芙蓉南路四段158号德泽苑湖南地理信息产业园总部基地地信大楼B栋七楼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毛亚洲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乙级：摄影测量与遥感、工程测量、界线与不动产测绘、地理信息系统工程</w:t>
            </w:r>
          </w:p>
        </w:tc>
      </w:tr>
    </w:tbl>
    <w:p w14:paraId="00D446B6">
      <w:pPr>
        <w:rPr>
          <w:rFonts w:hint="default" w:ascii="Times New Roman" w:hAnsi="Times New Roman" w:cs="Times New Roman"/>
          <w:color w:val="auto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775FA00E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3A74BA8B">
      <w:pPr>
        <w:jc w:val="center"/>
        <w:rPr>
          <w:rFonts w:hint="default" w:ascii="Times New Roman" w:hAnsi="Times New Roman" w:cs="Times New Roman"/>
          <w:color w:val="auto"/>
          <w:lang w:bidi="ar"/>
        </w:rPr>
      </w:pPr>
    </w:p>
    <w:p w14:paraId="046F50CB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二、专业技术人员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  <w:t>毛亚洲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66C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 w:bidi="ar"/>
              </w:rPr>
              <w:t>43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</w:tbl>
    <w:p w14:paraId="0DBBD48C">
      <w:pPr>
        <w:rPr>
          <w:rFonts w:hint="default" w:ascii="Times New Roman" w:hAnsi="Times New Roman" w:cs="Times New Roman"/>
          <w:color w:val="auto"/>
        </w:rPr>
      </w:pPr>
    </w:p>
    <w:p w14:paraId="1390A365">
      <w:pPr>
        <w:rPr>
          <w:rFonts w:hint="default" w:ascii="Times New Roman" w:hAnsi="Times New Roman" w:cs="Times New Roman"/>
          <w:color w:val="auto"/>
        </w:rPr>
      </w:pPr>
    </w:p>
    <w:p w14:paraId="200B77BD">
      <w:pPr>
        <w:rPr>
          <w:rFonts w:hint="default" w:ascii="Times New Roman" w:hAnsi="Times New Roman" w:cs="Times New Roman"/>
          <w:color w:val="auto"/>
        </w:rPr>
      </w:pPr>
    </w:p>
    <w:p w14:paraId="53EBDD3E">
      <w:pPr>
        <w:rPr>
          <w:rFonts w:hint="default" w:ascii="Times New Roman" w:hAnsi="Times New Roman" w:cs="Times New Roman"/>
          <w:color w:val="auto"/>
        </w:rPr>
      </w:pPr>
    </w:p>
    <w:p w14:paraId="30AEBDF8">
      <w:pPr>
        <w:rPr>
          <w:rFonts w:hint="default" w:ascii="Times New Roman" w:hAnsi="Times New Roman" w:cs="Times New Roman"/>
          <w:color w:val="auto"/>
        </w:rPr>
      </w:pPr>
    </w:p>
    <w:p w14:paraId="7B0461DA">
      <w:pPr>
        <w:rPr>
          <w:rFonts w:hint="default" w:ascii="Times New Roman" w:hAnsi="Times New Roman" w:cs="Times New Roman"/>
          <w:color w:val="auto"/>
        </w:rPr>
      </w:pPr>
    </w:p>
    <w:p w14:paraId="03391345">
      <w:pPr>
        <w:rPr>
          <w:rFonts w:hint="default" w:ascii="Times New Roman" w:hAnsi="Times New Roman" w:cs="Times New Roman"/>
          <w:color w:val="auto"/>
        </w:rPr>
      </w:pPr>
    </w:p>
    <w:p w14:paraId="3A04A9DA">
      <w:pPr>
        <w:rPr>
          <w:rFonts w:hint="default" w:ascii="Times New Roman" w:hAnsi="Times New Roman" w:cs="Times New Roman"/>
          <w:color w:val="auto"/>
        </w:rPr>
      </w:pPr>
    </w:p>
    <w:p w14:paraId="70CC686F">
      <w:pPr>
        <w:rPr>
          <w:rFonts w:hint="default" w:ascii="Times New Roman" w:hAnsi="Times New Roman" w:cs="Times New Roman"/>
          <w:color w:val="auto"/>
        </w:rPr>
      </w:pPr>
    </w:p>
    <w:p w14:paraId="11CBA7C5">
      <w:pPr>
        <w:rPr>
          <w:rFonts w:hint="default" w:ascii="Times New Roman" w:hAnsi="Times New Roman" w:cs="Times New Roman"/>
          <w:color w:val="auto"/>
        </w:rPr>
      </w:pPr>
    </w:p>
    <w:p w14:paraId="3C514900">
      <w:pPr>
        <w:rPr>
          <w:rFonts w:hint="default" w:ascii="Times New Roman" w:hAnsi="Times New Roman" w:cs="Times New Roman"/>
          <w:color w:val="auto"/>
        </w:rPr>
      </w:pPr>
    </w:p>
    <w:p w14:paraId="761C2AE3">
      <w:pPr>
        <w:rPr>
          <w:rFonts w:hint="default" w:ascii="Times New Roman" w:hAnsi="Times New Roman" w:cs="Times New Roman"/>
          <w:color w:val="auto"/>
        </w:rPr>
      </w:pPr>
    </w:p>
    <w:p w14:paraId="486E07DC">
      <w:pPr>
        <w:rPr>
          <w:rFonts w:hint="default" w:ascii="Times New Roman" w:hAnsi="Times New Roman" w:cs="Times New Roman"/>
          <w:color w:val="auto"/>
        </w:rPr>
      </w:pPr>
    </w:p>
    <w:p w14:paraId="1B1786EE">
      <w:pPr>
        <w:rPr>
          <w:rFonts w:hint="default" w:ascii="Times New Roman" w:hAnsi="Times New Roman" w:cs="Times New Roman"/>
          <w:color w:val="auto"/>
        </w:rPr>
      </w:pPr>
    </w:p>
    <w:p w14:paraId="19CEB8A1">
      <w:pPr>
        <w:rPr>
          <w:rFonts w:hint="default" w:ascii="Times New Roman" w:hAnsi="Times New Roman" w:cs="Times New Roman"/>
          <w:color w:val="auto"/>
        </w:rPr>
      </w:pPr>
    </w:p>
    <w:p w14:paraId="1B9640BC">
      <w:pPr>
        <w:rPr>
          <w:rFonts w:hint="default" w:ascii="Times New Roman" w:hAnsi="Times New Roman" w:cs="Times New Roman"/>
          <w:color w:val="auto"/>
        </w:rPr>
      </w:pPr>
    </w:p>
    <w:p w14:paraId="06FFF318">
      <w:pPr>
        <w:rPr>
          <w:rFonts w:hint="default" w:ascii="Times New Roman" w:hAnsi="Times New Roman" w:cs="Times New Roman"/>
          <w:color w:val="auto"/>
        </w:rPr>
      </w:pPr>
    </w:p>
    <w:p w14:paraId="3200D93D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雷厚元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32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曾鹏飞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6654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49D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579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刘福东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827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46C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31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B39A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5B55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D0D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A4E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吴建勇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7F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9B3C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30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B6B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6E64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D2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9002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熊厚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0E69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263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69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C14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</w:tbl>
    <w:p w14:paraId="7210A670">
      <w:pPr>
        <w:jc w:val="center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5BB26915">
      <w:pPr>
        <w:rPr>
          <w:rFonts w:hint="default" w:ascii="Times New Roman" w:hAnsi="Times New Roman" w:cs="Times New Roman"/>
          <w:color w:val="auto"/>
        </w:rPr>
      </w:pPr>
    </w:p>
    <w:p w14:paraId="5A5978CE">
      <w:pPr>
        <w:rPr>
          <w:rFonts w:hint="default" w:ascii="Times New Roman" w:hAnsi="Times New Roman" w:cs="Times New Roman"/>
          <w:color w:val="auto"/>
        </w:rPr>
      </w:pPr>
    </w:p>
    <w:p w14:paraId="0EA033E2">
      <w:pPr>
        <w:rPr>
          <w:rFonts w:hint="default" w:ascii="Times New Roman" w:hAnsi="Times New Roman" w:cs="Times New Roman"/>
          <w:color w:val="auto"/>
        </w:rPr>
      </w:pPr>
    </w:p>
    <w:p w14:paraId="446600AD">
      <w:pPr>
        <w:rPr>
          <w:rFonts w:hint="default" w:ascii="Times New Roman" w:hAnsi="Times New Roman" w:cs="Times New Roman"/>
          <w:color w:val="auto"/>
        </w:rPr>
      </w:pPr>
    </w:p>
    <w:p w14:paraId="76CB2D9C">
      <w:pPr>
        <w:rPr>
          <w:rFonts w:hint="default" w:ascii="Times New Roman" w:hAnsi="Times New Roman" w:cs="Times New Roman"/>
          <w:color w:val="auto"/>
        </w:rPr>
      </w:pPr>
    </w:p>
    <w:p w14:paraId="5BA8F2BA">
      <w:pPr>
        <w:rPr>
          <w:rFonts w:hint="default" w:ascii="Times New Roman" w:hAnsi="Times New Roman" w:cs="Times New Roman"/>
          <w:color w:val="auto"/>
        </w:rPr>
      </w:pPr>
    </w:p>
    <w:p w14:paraId="5829EB1E">
      <w:pPr>
        <w:rPr>
          <w:rFonts w:hint="default" w:ascii="Times New Roman" w:hAnsi="Times New Roman" w:cs="Times New Roman"/>
          <w:color w:val="auto"/>
        </w:rPr>
      </w:pPr>
    </w:p>
    <w:p w14:paraId="6DF4C9B1">
      <w:pPr>
        <w:rPr>
          <w:rFonts w:hint="default" w:ascii="Times New Roman" w:hAnsi="Times New Roman" w:cs="Times New Roman"/>
          <w:color w:val="auto"/>
        </w:rPr>
      </w:pPr>
    </w:p>
    <w:p w14:paraId="0A275E92">
      <w:pPr>
        <w:rPr>
          <w:rFonts w:hint="default" w:ascii="Times New Roman" w:hAnsi="Times New Roman" w:cs="Times New Roman"/>
          <w:color w:val="auto"/>
        </w:rPr>
      </w:pPr>
    </w:p>
    <w:p w14:paraId="09A622C4">
      <w:pPr>
        <w:rPr>
          <w:rFonts w:hint="default" w:ascii="Times New Roman" w:hAnsi="Times New Roman" w:cs="Times New Roman"/>
          <w:color w:val="auto"/>
        </w:rPr>
      </w:pPr>
    </w:p>
    <w:p w14:paraId="19089C80">
      <w:pPr>
        <w:rPr>
          <w:rFonts w:hint="default" w:ascii="Times New Roman" w:hAnsi="Times New Roman" w:cs="Times New Roman"/>
          <w:color w:val="auto"/>
        </w:rPr>
      </w:pPr>
    </w:p>
    <w:p w14:paraId="6ADC20CA">
      <w:pPr>
        <w:rPr>
          <w:rFonts w:hint="default" w:ascii="Times New Roman" w:hAnsi="Times New Roman" w:cs="Times New Roman"/>
          <w:color w:val="auto"/>
        </w:rPr>
      </w:pPr>
    </w:p>
    <w:p w14:paraId="436B37C5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pPr w:leftFromText="180" w:rightFromText="180" w:vertAnchor="text" w:horzAnchor="page" w:tblpX="1312" w:tblpY="302"/>
        <w:tblOverlap w:val="never"/>
        <w:tblW w:w="14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48CF2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B10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测绘专业初级技术人员</w:t>
            </w:r>
          </w:p>
        </w:tc>
      </w:tr>
      <w:tr w14:paraId="5BC6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C041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9F7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7F1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C48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6F81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47C4A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D51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4DF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罗绍峰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0B6BF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3F5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2FC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680D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A8CD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8AE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曾康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D8359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BAF4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631B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0B1A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E9B8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622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钟伟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B497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CE52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7439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55BC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B40E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2ABC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陈坤龙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7F81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67849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E328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04AD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73E2F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3108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贺佳林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FBF0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C60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F41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43B0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1BA6C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AB50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彭琪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58C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F2540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EC5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54850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4B57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A7BB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陈仕强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C5A6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22C16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B92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4E89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6650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253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林胜威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693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E00F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57C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335B2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38CD2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149AC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毛洪辉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0FF65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768F7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56712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</w:tbl>
    <w:p w14:paraId="29156B60">
      <w:pPr>
        <w:jc w:val="both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5F97740A">
      <w:pPr>
        <w:jc w:val="both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6B5F1EE5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三、技术装备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华测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南方NTS-332R4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120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202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0FE2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2A923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SOKKIA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AF17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76455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FDEA8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拓普康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29FB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235080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7C844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2057F6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科创力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E9B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21DF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908C8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75143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instrText xml:space="preserve"> HYPERLINK "javascript:__doPostBack('GvData$ctl15$Link_EquipmentName','')" </w:instrTex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手持测距仪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8D6BF4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深达威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5CB057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</w:tr>
      <w:tr w14:paraId="042B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FDDAF2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238A89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1CFDC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徕卡DISTO 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D5A846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CE96AA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EEFFF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FAEDC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RD8100PXL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4525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B66D6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6A24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摄影测量系统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830AF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DP Mapper V2.0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FDC2E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4F4E6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8FB0AB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DB88D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AR-Explorer V4.0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E117D6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</w:tbl>
    <w:p w14:paraId="7EE171B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4563"/>
        <w:gridCol w:w="1559"/>
        <w:gridCol w:w="1667"/>
        <w:gridCol w:w="1902"/>
        <w:gridCol w:w="1843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天瑞华府项目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受湖南京釜投资有限责任公司委托，长沙市精图测绘科技有限公司于2025年09月26日对天瑞华府1#-3#栋、门卫、垃圾站、地下室进行工程建设项目竣工验收综合测绘，项目位于长沙市天心区杉木冲路，完成时间为2026年1月7日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11.98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建发缦云小区项目竣工测量及房产测绘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项目位于岳麓区银盆北路，项目建筑面积约19.4万㎡，对缦云小区1-2#、3-a#-3-b#、5-9#、10#幼儿园、地下室规划竣工测量及房产测绘，出具相应的成果报告。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44.69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  <w:tr w14:paraId="67B2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60E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49FA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长沙华发四季云玺花园项目1#-6#、S1#现状垃圾站、S2#(社区用房、公厕)、S3#幼儿园、D1-D3 地下室多测合一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75C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四季云玺花园项目1#-6#、S1#现状垃圾站、S2#(社区用房、公厕)、S3#幼儿园、D1-D3地下室多测合一，项目位于开福区精英路，建筑面积约8.9万㎡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BEE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88B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32.4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B9E2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0CA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/</w:t>
            </w:r>
          </w:p>
        </w:tc>
      </w:tr>
    </w:tbl>
    <w:p w14:paraId="62B304A7">
      <w:pPr>
        <w:rPr>
          <w:rFonts w:hint="default" w:ascii="Times New Roman" w:hAnsi="Times New Roman" w:cs="Times New Roman"/>
          <w:color w:val="auto"/>
        </w:rPr>
      </w:pPr>
    </w:p>
    <w:p w14:paraId="16BC1675">
      <w:pPr>
        <w:jc w:val="center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b/>
          <w:color w:val="auto"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五、体系制度要求</w:t>
      </w: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1.涉密网络应配备系统管理员、安全保密管理员和安全审计员。</w:t>
            </w:r>
            <w:bookmarkStart w:id="0" w:name="_GoBack"/>
            <w:bookmarkEnd w:id="0"/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val="en-US" w:eastAsia="zh-CN" w:bidi="ar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62B15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1D38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9E2F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E31D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1A48D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widowControl/>
              <w:adjustRightInd w:val="0"/>
              <w:snapToGrid w:val="0"/>
              <w:spacing w:line="420" w:lineRule="exact"/>
              <w:ind w:left="42" w:leftChars="2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bidi="ar"/>
              </w:rPr>
              <w:t>符合</w:t>
            </w:r>
          </w:p>
        </w:tc>
      </w:tr>
    </w:tbl>
    <w:p w14:paraId="49BF3ADA">
      <w:pPr>
        <w:rPr>
          <w:color w:val="auto"/>
        </w:rPr>
      </w:pPr>
    </w:p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2306E2F"/>
    <w:rsid w:val="15D308BF"/>
    <w:rsid w:val="19152CEA"/>
    <w:rsid w:val="1B046511"/>
    <w:rsid w:val="3983066E"/>
    <w:rsid w:val="45CB07A8"/>
    <w:rsid w:val="49D40A5E"/>
    <w:rsid w:val="4BCA4AD6"/>
    <w:rsid w:val="587938A9"/>
    <w:rsid w:val="68490412"/>
    <w:rsid w:val="7BC1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2031</Words>
  <Characters>2230</Characters>
  <Lines>0</Lines>
  <Paragraphs>0</Paragraphs>
  <TotalTime>10</TotalTime>
  <ScaleCrop>false</ScaleCrop>
  <LinksUpToDate>false</LinksUpToDate>
  <CharactersWithSpaces>2243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2026-08-20T09:57:13Z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4B9648E4B18F4902BB93D7B1AE049080_12</vt:lpwstr>
  </property>
</Properties>
</file>