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E859F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1F5A3A86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4226EE94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1AEA89DB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200CBC4A">
      <w:pPr>
        <w:jc w:val="center"/>
        <w:rPr>
          <w:rFonts w:hint="default" w:ascii="Times New Roman" w:hAnsi="Times New Roman" w:cs="Times New Roman"/>
          <w:b/>
          <w:sz w:val="52"/>
        </w:rPr>
      </w:pPr>
    </w:p>
    <w:p w14:paraId="4A4B8A1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default" w:ascii="Times New Roman" w:hAnsi="Times New Roman" w:eastAsia="宋体" w:cs="Times New Roman"/>
          <w:b w:val="0"/>
          <w:bCs/>
          <w:sz w:val="48"/>
          <w:szCs w:val="48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>湖南新禹规划设计有限公司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71E3BB3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72720D3E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B234711"/>
    <w:p w14:paraId="602221D3"/>
    <w:p w14:paraId="14A20E3F"/>
    <w:p w14:paraId="12BFC7B4"/>
    <w:p w14:paraId="52EBAF25"/>
    <w:p w14:paraId="2B0F39A5"/>
    <w:p w14:paraId="773C4A67"/>
    <w:p w14:paraId="286FFFC1"/>
    <w:p w14:paraId="7F160A87"/>
    <w:p w14:paraId="3B2B6862"/>
    <w:p w14:paraId="18276094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一、单位基本情况及所申请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3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3D454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22" w:hRule="exac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79C6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3F7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湖南新禹规划设计有限公司</w:t>
            </w:r>
          </w:p>
        </w:tc>
      </w:tr>
      <w:tr w14:paraId="25FD6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93AB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587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民营企业</w:t>
            </w:r>
          </w:p>
        </w:tc>
      </w:tr>
      <w:tr w14:paraId="2596D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C358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930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湖南省长沙市岳麓山大学科技城洋湖街道先导路69号禧荣商业广场D-7栋103、104号</w:t>
            </w:r>
          </w:p>
        </w:tc>
      </w:tr>
      <w:tr w14:paraId="477C0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8B78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5F39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周学青</w:t>
            </w:r>
          </w:p>
        </w:tc>
      </w:tr>
      <w:tr w14:paraId="7C0A0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5B37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6BE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乙级:摄影测量与遥感、工程测量、界线与不动产测绘、地理信息系统工程</w:t>
            </w:r>
          </w:p>
        </w:tc>
      </w:tr>
    </w:tbl>
    <w:p w14:paraId="7C69DAF6">
      <w:pPr>
        <w:rPr>
          <w:rFonts w:hint="default" w:ascii="Times New Roman" w:hAnsi="Times New Roman" w:cs="Times New Roman"/>
        </w:rPr>
      </w:pPr>
    </w:p>
    <w:p w14:paraId="7A67BBE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C82297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71D479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0AF742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0D0055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22019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636461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9B624C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8013A49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090"/>
        <w:gridCol w:w="2595"/>
        <w:gridCol w:w="2295"/>
        <w:gridCol w:w="4994"/>
      </w:tblGrid>
      <w:tr w14:paraId="0CD12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41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AA11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测绘专业高级技术人员</w:t>
            </w:r>
          </w:p>
        </w:tc>
      </w:tr>
      <w:tr w14:paraId="22FDD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A35E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A10F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22D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3162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D3A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E8E7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F6EF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7FFD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周艳平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6904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ECE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F0EB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D89B3BD">
      <w:pPr>
        <w:rPr>
          <w:rFonts w:hint="default" w:ascii="Times New Roman" w:hAnsi="Times New Roman" w:cs="Times New Roman"/>
        </w:rPr>
      </w:pPr>
    </w:p>
    <w:p w14:paraId="47E45882">
      <w:pPr>
        <w:rPr>
          <w:rFonts w:hint="default" w:ascii="Times New Roman" w:hAnsi="Times New Roman" w:cs="Times New Roman"/>
        </w:rPr>
      </w:pPr>
    </w:p>
    <w:p w14:paraId="63A964ED">
      <w:pPr>
        <w:rPr>
          <w:rFonts w:hint="default" w:ascii="Times New Roman" w:hAnsi="Times New Roman" w:cs="Times New Roman"/>
        </w:rPr>
      </w:pPr>
    </w:p>
    <w:p w14:paraId="13E5EC51">
      <w:pPr>
        <w:rPr>
          <w:rFonts w:hint="default" w:ascii="Times New Roman" w:hAnsi="Times New Roman" w:cs="Times New Roman"/>
        </w:rPr>
      </w:pPr>
    </w:p>
    <w:p w14:paraId="390DA2FD">
      <w:pPr>
        <w:rPr>
          <w:rFonts w:hint="default" w:ascii="Times New Roman" w:hAnsi="Times New Roman" w:cs="Times New Roman"/>
        </w:rPr>
      </w:pPr>
    </w:p>
    <w:p w14:paraId="6D26582B">
      <w:pPr>
        <w:rPr>
          <w:rFonts w:hint="default" w:ascii="Times New Roman" w:hAnsi="Times New Roman" w:cs="Times New Roman"/>
        </w:rPr>
      </w:pPr>
    </w:p>
    <w:p w14:paraId="7EBF6832">
      <w:pPr>
        <w:rPr>
          <w:rFonts w:hint="default" w:ascii="Times New Roman" w:hAnsi="Times New Roman" w:cs="Times New Roman"/>
        </w:rPr>
      </w:pPr>
    </w:p>
    <w:p w14:paraId="037E013A">
      <w:pPr>
        <w:rPr>
          <w:rFonts w:hint="default" w:ascii="Times New Roman" w:hAnsi="Times New Roman" w:cs="Times New Roman"/>
        </w:rPr>
      </w:pPr>
    </w:p>
    <w:p w14:paraId="2200AF19">
      <w:pPr>
        <w:rPr>
          <w:rFonts w:hint="default" w:ascii="Times New Roman" w:hAnsi="Times New Roman" w:cs="Times New Roman"/>
        </w:rPr>
      </w:pPr>
    </w:p>
    <w:p w14:paraId="6FB3A325">
      <w:pPr>
        <w:rPr>
          <w:rFonts w:hint="default" w:ascii="Times New Roman" w:hAnsi="Times New Roman" w:cs="Times New Roman"/>
        </w:rPr>
      </w:pPr>
    </w:p>
    <w:p w14:paraId="1B95DE22">
      <w:pPr>
        <w:rPr>
          <w:rFonts w:hint="default" w:ascii="Times New Roman" w:hAnsi="Times New Roman" w:cs="Times New Roman"/>
        </w:rPr>
      </w:pPr>
    </w:p>
    <w:p w14:paraId="3164D837">
      <w:pPr>
        <w:rPr>
          <w:rFonts w:hint="default" w:ascii="Times New Roman" w:hAnsi="Times New Roman" w:cs="Times New Roman"/>
        </w:rPr>
      </w:pPr>
    </w:p>
    <w:p w14:paraId="39C2097A">
      <w:pPr>
        <w:rPr>
          <w:rFonts w:hint="default" w:ascii="Times New Roman" w:hAnsi="Times New Roman" w:cs="Times New Roman"/>
        </w:rPr>
      </w:pPr>
    </w:p>
    <w:p w14:paraId="479ED1CC">
      <w:pPr>
        <w:rPr>
          <w:rFonts w:hint="default" w:ascii="Times New Roman" w:hAnsi="Times New Roman" w:cs="Times New Roman"/>
        </w:rPr>
      </w:pPr>
    </w:p>
    <w:p w14:paraId="5463904E">
      <w:pPr>
        <w:rPr>
          <w:rFonts w:hint="default" w:ascii="Times New Roman" w:hAnsi="Times New Roman" w:cs="Times New Roman"/>
        </w:rPr>
      </w:pPr>
    </w:p>
    <w:p w14:paraId="4A2547A7">
      <w:pPr>
        <w:rPr>
          <w:rFonts w:hint="default" w:ascii="Times New Roman" w:hAnsi="Times New Roman" w:cs="Times New Roman"/>
        </w:rPr>
      </w:pPr>
    </w:p>
    <w:p w14:paraId="09B74980">
      <w:pPr>
        <w:rPr>
          <w:rFonts w:hint="default" w:ascii="Times New Roman" w:hAnsi="Times New Roman" w:cs="Times New Roman"/>
        </w:rPr>
      </w:pPr>
    </w:p>
    <w:p w14:paraId="4349C37A">
      <w:pPr>
        <w:rPr>
          <w:rFonts w:hint="default" w:ascii="Times New Roman" w:hAnsi="Times New Roman" w:cs="Times New Roman"/>
        </w:rPr>
      </w:pPr>
    </w:p>
    <w:p w14:paraId="0B20000F">
      <w:pPr>
        <w:rPr>
          <w:rFonts w:hint="default" w:ascii="Times New Roman" w:hAnsi="Times New Roman" w:cs="Times New Roman"/>
        </w:rPr>
      </w:pPr>
    </w:p>
    <w:p w14:paraId="018558FF">
      <w:pPr>
        <w:rPr>
          <w:rFonts w:hint="default" w:ascii="Times New Roman" w:hAnsi="Times New Roman" w:cs="Times New Roma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1503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E83A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034EA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FA09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F37C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217F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1F23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531A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2BD5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399A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55C4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8FB0E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61B3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51D7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93F7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0C3B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D124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周学青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1A5C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E55B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4185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9D7B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8921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FDB1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张小平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ADAD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F282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D7E1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6BC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BB29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13AD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周俊湘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4A5A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7E46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E51A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01A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0760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0A69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覃佐平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A6F83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07CE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A641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2176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A76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7B0F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曾亚丹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B740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A15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361A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EEE4FB4">
      <w:pPr>
        <w:rPr>
          <w:rFonts w:hint="default" w:ascii="Times New Roman" w:hAnsi="Times New Roman" w:cs="Times New Roman"/>
        </w:rPr>
      </w:pPr>
    </w:p>
    <w:p w14:paraId="4036D66B">
      <w:pPr>
        <w:rPr>
          <w:rFonts w:hint="default" w:ascii="Times New Roman" w:hAnsi="Times New Roman" w:cs="Times New Roman"/>
        </w:rPr>
      </w:pPr>
    </w:p>
    <w:p w14:paraId="3CE5AE9B">
      <w:pPr>
        <w:rPr>
          <w:rFonts w:hint="default" w:ascii="Times New Roman" w:hAnsi="Times New Roman" w:cs="Times New Roman"/>
        </w:rPr>
      </w:pPr>
    </w:p>
    <w:p w14:paraId="79932C3D">
      <w:pPr>
        <w:rPr>
          <w:rFonts w:hint="default" w:ascii="Times New Roman" w:hAnsi="Times New Roman" w:cs="Times New Roman"/>
        </w:rPr>
      </w:pPr>
    </w:p>
    <w:p w14:paraId="23FAE1B3">
      <w:pPr>
        <w:rPr>
          <w:rFonts w:hint="default" w:ascii="Times New Roman" w:hAnsi="Times New Roman" w:cs="Times New Roman"/>
        </w:rPr>
      </w:pPr>
    </w:p>
    <w:p w14:paraId="3B981EF2">
      <w:pPr>
        <w:rPr>
          <w:rFonts w:hint="default" w:ascii="Times New Roman" w:hAnsi="Times New Roman" w:cs="Times New Roman"/>
        </w:rPr>
      </w:pPr>
    </w:p>
    <w:p w14:paraId="6658D19D">
      <w:pPr>
        <w:rPr>
          <w:rFonts w:hint="default" w:ascii="Times New Roman" w:hAnsi="Times New Roman" w:cs="Times New Roman"/>
        </w:rPr>
      </w:pPr>
    </w:p>
    <w:p w14:paraId="3A3CABB6">
      <w:pPr>
        <w:rPr>
          <w:rFonts w:hint="default" w:ascii="Times New Roman" w:hAnsi="Times New Roman" w:cs="Times New Roman"/>
        </w:rPr>
      </w:pPr>
    </w:p>
    <w:p w14:paraId="48637126">
      <w:pPr>
        <w:rPr>
          <w:rFonts w:hint="default" w:ascii="Times New Roman" w:hAnsi="Times New Roman" w:cs="Times New Roman"/>
        </w:rPr>
      </w:pPr>
    </w:p>
    <w:p w14:paraId="2795F487">
      <w:pPr>
        <w:rPr>
          <w:rFonts w:hint="default" w:ascii="Times New Roman" w:hAnsi="Times New Roman" w:cs="Times New Roman"/>
        </w:rPr>
      </w:pPr>
    </w:p>
    <w:tbl>
      <w:tblPr>
        <w:tblStyle w:val="3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7242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5E25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32112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B8EA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1FA1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F58F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31B7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09E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212FF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A6D5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8A67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851C1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3F4F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610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7ABB0E0">
      <w:pPr>
        <w:rPr>
          <w:rFonts w:hint="default" w:ascii="Times New Roman" w:hAnsi="Times New Roman" w:cs="Times New Roman"/>
        </w:rPr>
      </w:pPr>
    </w:p>
    <w:p w14:paraId="0356FED7">
      <w:pPr>
        <w:rPr>
          <w:rFonts w:hint="default" w:ascii="Times New Roman" w:hAnsi="Times New Roman" w:cs="Times New Roman"/>
        </w:rPr>
      </w:pPr>
    </w:p>
    <w:p w14:paraId="60F7078E">
      <w:pPr>
        <w:rPr>
          <w:rFonts w:hint="default" w:ascii="Times New Roman" w:hAnsi="Times New Roman" w:cs="Times New Roman"/>
        </w:rPr>
      </w:pPr>
    </w:p>
    <w:p w14:paraId="77C21D6D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B3A9A2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00D37D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3E973E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4CCC24B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B4A18E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4130F5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69F4D1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19167BD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375BE14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37F88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A75C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7ACC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827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350E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50506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BD41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5BC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 接收机(不低于 5rm+1ppm精度)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E3CC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华测X6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3400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048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5F62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C7AB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全站仪(不低于2秒级精度)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DD10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天宇CTS632R6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88EF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411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46B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4DC4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水准仪(不低于S1级精度)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22DA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威斯曼AL9-32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4D4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DD6E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7A2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091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C7E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自动建模系统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2896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293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47F6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C4EC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7524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天际航实景三维测图系统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EAD3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5153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46F9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487E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DE5D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地籍地形成图软件南方CASS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81C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2F4B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7333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73DB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92A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MapGIS K9地理信息系统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073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7FD5C69">
      <w:pPr>
        <w:jc w:val="both"/>
        <w:rPr>
          <w:rFonts w:hint="default" w:ascii="Times New Roman" w:hAnsi="Times New Roman" w:cs="Times New Roman"/>
          <w:b/>
          <w:sz w:val="44"/>
          <w:szCs w:val="44"/>
        </w:rPr>
        <w:sectPr>
          <w:footerReference r:id="rId3" w:type="default"/>
          <w:pgSz w:w="16838" w:h="11906" w:orient="landscape"/>
          <w:pgMar w:top="1463" w:right="1440" w:bottom="1463" w:left="1440" w:header="851" w:footer="992" w:gutter="0"/>
          <w:pgNumType w:start="1"/>
          <w:cols w:space="425" w:num="1"/>
          <w:docGrid w:type="lines" w:linePitch="312" w:charSpace="0"/>
        </w:sectPr>
      </w:pPr>
    </w:p>
    <w:p w14:paraId="7AF95DC7">
      <w:pPr>
        <w:spacing w:before="184" w:line="186" w:lineRule="auto"/>
        <w:ind w:left="5529"/>
        <w:outlineLvl w:val="2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36"/>
          <w:szCs w:val="36"/>
        </w:rPr>
        <w:t>四、测绘项目清</w:t>
      </w:r>
      <w:r>
        <w:rPr>
          <w:rFonts w:hint="eastAsia" w:ascii="黑体" w:hAnsi="黑体" w:eastAsia="黑体" w:cs="黑体"/>
          <w:spacing w:val="5"/>
          <w:sz w:val="36"/>
          <w:szCs w:val="36"/>
          <w:lang w:val="en-US" w:eastAsia="zh-CN"/>
        </w:rPr>
        <w:t>单</w:t>
      </w:r>
    </w:p>
    <w:tbl>
      <w:tblPr>
        <w:tblStyle w:val="5"/>
        <w:tblW w:w="1449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1918"/>
        <w:gridCol w:w="5429"/>
        <w:gridCol w:w="1700"/>
        <w:gridCol w:w="1702"/>
        <w:gridCol w:w="1575"/>
        <w:gridCol w:w="1426"/>
      </w:tblGrid>
      <w:tr w14:paraId="3A1831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tblHeader/>
          <w:jc w:val="center"/>
        </w:trPr>
        <w:tc>
          <w:tcPr>
            <w:tcW w:w="747" w:type="dxa"/>
            <w:vAlign w:val="center"/>
          </w:tcPr>
          <w:p w14:paraId="476EC5D0">
            <w:pPr>
              <w:snapToGrid w:val="0"/>
              <w:spacing w:before="304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27"/>
                <w:szCs w:val="27"/>
              </w:rPr>
            </w:pPr>
            <w:r>
              <w:rPr>
                <w:rFonts w:ascii="黑体" w:hAnsi="黑体" w:eastAsia="黑体" w:cs="黑体"/>
                <w:b/>
                <w:spacing w:val="4"/>
                <w:sz w:val="27"/>
                <w:szCs w:val="27"/>
              </w:rPr>
              <w:t>序号</w:t>
            </w:r>
          </w:p>
        </w:tc>
        <w:tc>
          <w:tcPr>
            <w:tcW w:w="1918" w:type="dxa"/>
            <w:vAlign w:val="center"/>
          </w:tcPr>
          <w:p w14:paraId="77CEDE45">
            <w:pPr>
              <w:snapToGrid w:val="0"/>
              <w:spacing w:before="304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27"/>
                <w:szCs w:val="27"/>
              </w:rPr>
            </w:pPr>
            <w:r>
              <w:rPr>
                <w:rFonts w:ascii="黑体" w:hAnsi="黑体" w:eastAsia="黑体" w:cs="黑体"/>
                <w:b/>
                <w:spacing w:val="7"/>
                <w:sz w:val="27"/>
                <w:szCs w:val="27"/>
              </w:rPr>
              <w:t>项目名称</w:t>
            </w:r>
          </w:p>
        </w:tc>
        <w:tc>
          <w:tcPr>
            <w:tcW w:w="5429" w:type="dxa"/>
            <w:vAlign w:val="center"/>
          </w:tcPr>
          <w:p w14:paraId="61D0252F">
            <w:pPr>
              <w:snapToGrid w:val="0"/>
              <w:spacing w:before="134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27"/>
                <w:szCs w:val="27"/>
              </w:rPr>
            </w:pPr>
            <w:r>
              <w:rPr>
                <w:rFonts w:ascii="黑体" w:hAnsi="黑体" w:eastAsia="黑体" w:cs="黑体"/>
                <w:b/>
                <w:spacing w:val="8"/>
                <w:sz w:val="27"/>
                <w:szCs w:val="27"/>
              </w:rPr>
              <w:t>基本情况（项目地</w:t>
            </w:r>
            <w:r>
              <w:rPr>
                <w:rFonts w:ascii="黑体" w:hAnsi="黑体" w:eastAsia="黑体" w:cs="黑体"/>
                <w:b/>
                <w:spacing w:val="7"/>
                <w:sz w:val="27"/>
                <w:szCs w:val="27"/>
              </w:rPr>
              <w:t>点、作业内容等）</w:t>
            </w:r>
          </w:p>
        </w:tc>
        <w:tc>
          <w:tcPr>
            <w:tcW w:w="1700" w:type="dxa"/>
            <w:vAlign w:val="center"/>
          </w:tcPr>
          <w:p w14:paraId="20ED3541">
            <w:pPr>
              <w:snapToGrid w:val="0"/>
              <w:spacing w:before="304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27"/>
                <w:szCs w:val="27"/>
              </w:rPr>
            </w:pPr>
            <w:r>
              <w:rPr>
                <w:rFonts w:ascii="黑体" w:hAnsi="黑体" w:eastAsia="黑体" w:cs="黑体"/>
                <w:b/>
                <w:spacing w:val="7"/>
                <w:sz w:val="27"/>
                <w:szCs w:val="27"/>
              </w:rPr>
              <w:t>所属专业类别</w:t>
            </w:r>
          </w:p>
        </w:tc>
        <w:tc>
          <w:tcPr>
            <w:tcW w:w="1702" w:type="dxa"/>
            <w:vAlign w:val="center"/>
          </w:tcPr>
          <w:p w14:paraId="031DEA2F">
            <w:pPr>
              <w:snapToGrid w:val="0"/>
              <w:spacing w:before="304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pacing w:val="7"/>
                <w:sz w:val="27"/>
                <w:szCs w:val="27"/>
              </w:rPr>
            </w:pPr>
            <w:r>
              <w:rPr>
                <w:rFonts w:ascii="黑体" w:hAnsi="黑体" w:eastAsia="黑体" w:cs="黑体"/>
                <w:b/>
                <w:spacing w:val="7"/>
                <w:sz w:val="27"/>
                <w:szCs w:val="27"/>
              </w:rPr>
              <w:t>项目金额</w:t>
            </w:r>
          </w:p>
          <w:p w14:paraId="382E2705">
            <w:pPr>
              <w:snapToGrid w:val="0"/>
              <w:spacing w:before="304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27"/>
                <w:szCs w:val="27"/>
              </w:rPr>
            </w:pPr>
            <w:r>
              <w:rPr>
                <w:rFonts w:ascii="黑体" w:hAnsi="黑体" w:eastAsia="黑体" w:cs="黑体"/>
                <w:b/>
                <w:spacing w:val="7"/>
                <w:sz w:val="27"/>
                <w:szCs w:val="27"/>
              </w:rPr>
              <w:t>（万元）</w:t>
            </w:r>
          </w:p>
        </w:tc>
        <w:tc>
          <w:tcPr>
            <w:tcW w:w="1575" w:type="dxa"/>
            <w:vAlign w:val="center"/>
          </w:tcPr>
          <w:p w14:paraId="1989B63B">
            <w:pPr>
              <w:snapToGrid w:val="0"/>
              <w:spacing w:before="134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pacing w:val="7"/>
                <w:sz w:val="27"/>
                <w:szCs w:val="27"/>
              </w:rPr>
            </w:pPr>
            <w:r>
              <w:rPr>
                <w:rFonts w:ascii="黑体" w:hAnsi="黑体" w:eastAsia="黑体" w:cs="黑体"/>
                <w:b/>
                <w:spacing w:val="7"/>
                <w:sz w:val="27"/>
                <w:szCs w:val="27"/>
              </w:rPr>
              <w:t>验收时间</w:t>
            </w:r>
          </w:p>
          <w:p w14:paraId="77AAC88E">
            <w:pPr>
              <w:snapToGrid w:val="0"/>
              <w:spacing w:before="134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27"/>
                <w:szCs w:val="27"/>
              </w:rPr>
            </w:pPr>
            <w:r>
              <w:rPr>
                <w:rFonts w:ascii="黑体" w:hAnsi="黑体" w:eastAsia="黑体" w:cs="黑体"/>
                <w:b/>
                <w:spacing w:val="-2"/>
                <w:sz w:val="27"/>
                <w:szCs w:val="27"/>
              </w:rPr>
              <w:t>（据实填写）</w:t>
            </w:r>
          </w:p>
        </w:tc>
        <w:tc>
          <w:tcPr>
            <w:tcW w:w="1426" w:type="dxa"/>
            <w:vAlign w:val="center"/>
          </w:tcPr>
          <w:p w14:paraId="2F377004">
            <w:pPr>
              <w:snapToGrid w:val="0"/>
              <w:spacing w:before="134" w:line="240" w:lineRule="auto"/>
              <w:ind w:left="0" w:leftChars="0" w:right="0" w:rightChars="0" w:firstLine="0" w:firstLineChars="0"/>
              <w:jc w:val="center"/>
              <w:rPr>
                <w:rFonts w:ascii="黑体" w:hAnsi="黑体" w:eastAsia="黑体" w:cs="黑体"/>
                <w:b/>
                <w:sz w:val="27"/>
                <w:szCs w:val="27"/>
              </w:rPr>
            </w:pPr>
            <w:r>
              <w:rPr>
                <w:rFonts w:ascii="黑体" w:hAnsi="黑体" w:eastAsia="黑体" w:cs="黑体"/>
                <w:b/>
                <w:spacing w:val="7"/>
                <w:sz w:val="27"/>
                <w:szCs w:val="27"/>
              </w:rPr>
              <w:t>验收机构</w:t>
            </w:r>
            <w:r>
              <w:rPr>
                <w:rFonts w:ascii="黑体" w:hAnsi="黑体" w:eastAsia="黑体" w:cs="黑体"/>
                <w:b/>
                <w:spacing w:val="-2"/>
                <w:sz w:val="27"/>
                <w:szCs w:val="27"/>
              </w:rPr>
              <w:t>（据实填写）</w:t>
            </w:r>
          </w:p>
        </w:tc>
      </w:tr>
      <w:tr w14:paraId="75DA04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747" w:type="dxa"/>
            <w:vAlign w:val="center"/>
          </w:tcPr>
          <w:p w14:paraId="4C7B5A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18" w:type="dxa"/>
            <w:vAlign w:val="center"/>
          </w:tcPr>
          <w:p w14:paraId="5D4955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洪江市黔城镇全域土地综合整治项目-新增耕地开发与建设用地增减挂钩子项全过程技术服务合同</w:t>
            </w:r>
          </w:p>
        </w:tc>
        <w:tc>
          <w:tcPr>
            <w:tcW w:w="5429" w:type="dxa"/>
            <w:vAlign w:val="center"/>
          </w:tcPr>
          <w:p w14:paraId="5C1D4B4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怀化洪江市 按照选址复核、规划设计、验收入库等阶段对乙方工作内容及成果交付等事项进行约束，乙方最终工作成果向甲方提供文字及图件纸质版资料陆套，电子文件壹套。 一、选址复核阶段: 工作内容: (1)提供项目所需基础资料清单，配合甲方取得项目选址所需最新土地利用现状、地籍变更、生态红线、林地资源保护等各种项目选址所需的基础资料: (2)根据甲方提供的基础资料，严格按照各级主管部门相关规定进行图上判读，及时将成果报告甲方，并配合甲方与相关各局进行资源图上核实，获取签章意见; (3)应严格按照各级主管部门相关规定进行实地踏勘，选取后备资源，完成土地清查，并准备图件资料参与各级现场选址复核工作; (4)配合甲方取得各级相关部门应出具的各种资料，包括但不限于县自然资源等局选址审查意见、专家评审意见、县政府同意开发的意见，市自然资源局选址复核意见等。 二、规划设计阶段: 工作内容:(1)乙方根据选址确定的范围编制项目可行性研究报告，通过专家评供现状测量图与航测图;协助甲方完成项目立项工作； (2)根据项目立项确定的范围开展项目区前期勘测与外业航测，提供现状测量图与航测图； (3)编制项目规划设计文件和预算书，并报专家及相关单位进行审批，参加相关评审会并负责汇报和疑难问题的解答； (4)协助甲方取得项目建设任务书; 三、验收入库阶段: 工作内容: (1)负责向甲方及施工单位进行技术交底; (2)根据施工现场情况与甲方要求，及时派遣专业技术人员提供施工指导，并完成设计变更等后期服务工作; (3)现场施工基本完成后，及时开展竣工测量与外业航拍;提供符合要求的竣工图与航拍影像; (4)根据最终竣工测量成果汇总变更设计资料，并协助甲方完成竣工验收。 四、指标确认与入库 工作内容: (1)项目竣工验收后，为完成省厅指标确认工作，乙方负责报卷所需资料的收集、整理以及远程报卷系统操作等工作; (2)项目指标确认后，乙方将继续完成上图入库等后续工作。</w:t>
            </w:r>
          </w:p>
        </w:tc>
        <w:tc>
          <w:tcPr>
            <w:tcW w:w="1700" w:type="dxa"/>
            <w:vAlign w:val="center"/>
          </w:tcPr>
          <w:p w14:paraId="428302C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摄影测量与遥感</w:t>
            </w:r>
          </w:p>
        </w:tc>
        <w:tc>
          <w:tcPr>
            <w:tcW w:w="1702" w:type="dxa"/>
            <w:vAlign w:val="center"/>
          </w:tcPr>
          <w:p w14:paraId="1916F47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135.2800</w:t>
            </w:r>
          </w:p>
        </w:tc>
        <w:tc>
          <w:tcPr>
            <w:tcW w:w="1575" w:type="dxa"/>
            <w:vAlign w:val="center"/>
          </w:tcPr>
          <w:p w14:paraId="60291D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2026.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08.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1426" w:type="dxa"/>
            <w:vAlign w:val="center"/>
          </w:tcPr>
          <w:p w14:paraId="1C16F1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洪江市自然资源局</w:t>
            </w:r>
          </w:p>
        </w:tc>
      </w:tr>
      <w:tr w14:paraId="3359AC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  <w:jc w:val="center"/>
        </w:trPr>
        <w:tc>
          <w:tcPr>
            <w:tcW w:w="747" w:type="dxa"/>
            <w:vAlign w:val="center"/>
          </w:tcPr>
          <w:p w14:paraId="6C0C6C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18" w:type="dxa"/>
            <w:vAlign w:val="center"/>
          </w:tcPr>
          <w:p w14:paraId="668927C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长沙市补充耕地资源精细化调查评价</w:t>
            </w:r>
          </w:p>
        </w:tc>
        <w:tc>
          <w:tcPr>
            <w:tcW w:w="5429" w:type="dxa"/>
            <w:vAlign w:val="center"/>
          </w:tcPr>
          <w:p w14:paraId="794780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长沙市 甲方委托乙方承担长沙市补充耕地资源精细化调查评价的相关工作，根据磋商文件对项日服务内容及服务要求的规定，对市域内(雨花区、芙蓉区、天心区、开福区、望城区)的恢复耕地(标注属性为即可恢复和工程恢复类图斑)、损毁耕地、非耕地图斑(未标注恢复属性的园地、林地、坑塘水面等其他农用图斑)进行精细化调查评价，编写长沙市内五区补充耕地资源精细化调查评价报告:筛选与集中连片的现状耕地和永久基本农田毗邻的超过100亩的集中连片区域设定为"提质扩面"项目片区，揽底出"提质扩面"项目片区数量，划分项目片区并落图，建立"提质扩面"项目库和补充耕地资源数据库;统筹安排项目实施、验收、指标确认等相关工作，建立补充耕地项目指标动态管理平台:在内五区补充耕地资源精细化调查评价工作开始后1个月左右发布《长沙市补充耕地精细化调查评价技术方案》;整合全市域各县市区的调查评价成果，形成长沙市补充耕地资源数据库，建立日常管理机制和管理平台，对全市"占补平衡"与"进出平衡"以及"耕作层剥离再利用"进行高效动态管理。甲方委托乙方承担长沙市补充耕地资源精细化调查评价的相关工作，根据磋商文件对项目服务内容及服务要求的规定，对市域内(雨花区、芙蓉区、天心区、开福区、望城区)的恢复耕地(标注属性为即可恢复和工程恢复类图斑)、损毁耕地、非耕地图斑(未标注恢复属性的园地、林地、坑塘水面等其他农用图斑)进行精细化调查评价，编写长沙市内五区补充耕地资源精细化调查评价报告;筛选与集中连片的现状耕地和永久基本农田毗邻的超过100亩的集中连片区域设定为“提质扩面"项目片区，摸底出"提质扩面"项目片区数量，划分项目片区并落图，建立"提质扩面"项目库和补充耕地资源数据库;统筹安排项目实施、验收、指标确认等相关工作，建立补充耕地项目指标动态管理平台;在内五区补充耕地资源精细化调查评价工作开始后1个月左右发布《长沙市补充耕地精细化调查评价技术方案》;整合全市域各县市区的调查评价成果，形成长沙市补充耕地资源数据库，建立日常管理机制和管理平台，对全市"占补平衡"与"进出平衡"以及"耕作层剥离再利用"进行高效动态管理。</w:t>
            </w:r>
          </w:p>
        </w:tc>
        <w:tc>
          <w:tcPr>
            <w:tcW w:w="1700" w:type="dxa"/>
            <w:vAlign w:val="center"/>
          </w:tcPr>
          <w:p w14:paraId="766D568E">
            <w:pPr>
              <w:pStyle w:val="6"/>
              <w:snapToGrid w:val="0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地理信息系统工程</w:t>
            </w:r>
          </w:p>
        </w:tc>
        <w:tc>
          <w:tcPr>
            <w:tcW w:w="1702" w:type="dxa"/>
            <w:vAlign w:val="center"/>
          </w:tcPr>
          <w:p w14:paraId="62A12548">
            <w:pPr>
              <w:pStyle w:val="6"/>
              <w:snapToGrid w:val="0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68.7800</w:t>
            </w:r>
          </w:p>
        </w:tc>
        <w:tc>
          <w:tcPr>
            <w:tcW w:w="1575" w:type="dxa"/>
            <w:vAlign w:val="center"/>
          </w:tcPr>
          <w:p w14:paraId="35CDB765">
            <w:pPr>
              <w:pStyle w:val="6"/>
              <w:snapToGrid w:val="0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2024.1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426" w:type="dxa"/>
            <w:vAlign w:val="center"/>
          </w:tcPr>
          <w:p w14:paraId="45F2801B">
            <w:pPr>
              <w:pStyle w:val="6"/>
              <w:snapToGrid w:val="0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长沙市土地整理中心</w:t>
            </w:r>
          </w:p>
        </w:tc>
      </w:tr>
      <w:tr w14:paraId="3320B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  <w:jc w:val="center"/>
        </w:trPr>
        <w:tc>
          <w:tcPr>
            <w:tcW w:w="747" w:type="dxa"/>
            <w:vAlign w:val="center"/>
          </w:tcPr>
          <w:p w14:paraId="09478E27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18" w:type="dxa"/>
            <w:vAlign w:val="center"/>
          </w:tcPr>
          <w:p w14:paraId="610F2C08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新田县石羊镇赤湾头村、龙眼头村农用地整治项目现场勘测</w:t>
            </w:r>
          </w:p>
        </w:tc>
        <w:tc>
          <w:tcPr>
            <w:tcW w:w="5429" w:type="dxa"/>
            <w:vAlign w:val="center"/>
          </w:tcPr>
          <w:p w14:paraId="5236586E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湖南省永州市 1、乙方应根据上级批准的项目类型、性质、项目范围等控制指标，对项目区现场进行充分调查的基础，开展现场测绘工作。 2、按规定时间向甲方提交项目测绘工作成果送审资料二套，电子版一套。提交的成果应满足设计需要，相关图件制作应符合土地开发整理行业有关规定。</w:t>
            </w:r>
          </w:p>
        </w:tc>
        <w:tc>
          <w:tcPr>
            <w:tcW w:w="1700" w:type="dxa"/>
            <w:vAlign w:val="center"/>
          </w:tcPr>
          <w:p w14:paraId="4A99854E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工程测量</w:t>
            </w:r>
          </w:p>
        </w:tc>
        <w:tc>
          <w:tcPr>
            <w:tcW w:w="1702" w:type="dxa"/>
            <w:vAlign w:val="center"/>
          </w:tcPr>
          <w:p w14:paraId="351CA127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1.7407</w:t>
            </w:r>
          </w:p>
        </w:tc>
        <w:tc>
          <w:tcPr>
            <w:tcW w:w="1575" w:type="dxa"/>
            <w:vAlign w:val="center"/>
          </w:tcPr>
          <w:p w14:paraId="36E32924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2023.1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1426" w:type="dxa"/>
            <w:vAlign w:val="center"/>
          </w:tcPr>
          <w:p w14:paraId="0C171970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新田县自然资源局</w:t>
            </w:r>
          </w:p>
        </w:tc>
      </w:tr>
      <w:tr w14:paraId="528DE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  <w:jc w:val="center"/>
        </w:trPr>
        <w:tc>
          <w:tcPr>
            <w:tcW w:w="747" w:type="dxa"/>
            <w:vAlign w:val="center"/>
          </w:tcPr>
          <w:p w14:paraId="1DF4F717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18" w:type="dxa"/>
            <w:vAlign w:val="center"/>
          </w:tcPr>
          <w:p w14:paraId="4570D6A4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双峰县2023年第十五批次建设用地项目(桃树安置区)</w:t>
            </w:r>
          </w:p>
        </w:tc>
        <w:tc>
          <w:tcPr>
            <w:tcW w:w="5429" w:type="dxa"/>
            <w:vAlign w:val="center"/>
          </w:tcPr>
          <w:p w14:paraId="78C33177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怀化洪江市</w:t>
            </w:r>
          </w:p>
          <w:p w14:paraId="1FDA4BCB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按照选址复核、规划设计、验收入库等阶段对乙方工作内容及成果交付等事项进行约束，乙方最终工作成果向甲方提供文字及图件纸质版资料陆套，电子文件壹套。</w:t>
            </w:r>
          </w:p>
          <w:p w14:paraId="53C933A8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一、选址复核阶段:</w:t>
            </w:r>
          </w:p>
          <w:p w14:paraId="1A0722B2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工作内容:</w:t>
            </w:r>
          </w:p>
          <w:p w14:paraId="1FA7EE8E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(1)提供项目所需基础资料清单，配合甲方取得项目选址所需最新土地利用现状、地籍变更、生态红线、林地资源保护等各种项目选址所需的基础资料:</w:t>
            </w:r>
          </w:p>
          <w:p w14:paraId="5A5C8DD4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(2)根据甲方提供的基础资料，严格按照各级主管部门相关规定进行图上判读，及时将成果报告甲方，并配合甲方与相关各局进行资源图上核实，获取签章意见;</w:t>
            </w:r>
          </w:p>
          <w:p w14:paraId="1BB03FAC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(3)应严格按照各级主管部门相关规定进行实地踏勘，选取后备资源，完成土地清查，并准备图件资料参与各级现场选址复核工作;</w:t>
            </w:r>
          </w:p>
          <w:p w14:paraId="3AB7850C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(4)配合甲方取得各级相关部门应出具的各种资料，包括但不限于县自然资源等局选址审查意见、专家评审意见、县政府同意开发的意见，市自然资源局选址复核意见等。</w:t>
            </w:r>
          </w:p>
          <w:p w14:paraId="5453BFBA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二、规划设计阶段:</w:t>
            </w:r>
          </w:p>
          <w:p w14:paraId="0C4A2E9F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工作内容:(1)乙方根据选址确定的范围编制项目可行性研究报告，通过专家评供现状测量图与航测图;协助甲方完成项目立项工作；</w:t>
            </w:r>
          </w:p>
          <w:p w14:paraId="4A17C12C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(2)根据项目立项确定的范围开展项目区前期勘测与外业航测，提供现状测量图与航测图；</w:t>
            </w:r>
          </w:p>
          <w:p w14:paraId="0AD9D316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(3)编制项目规划设计文件和预算书，并报专家及相关单位进行审批，参加相关评审会并负责汇报和疑难问题的解答；</w:t>
            </w:r>
          </w:p>
          <w:p w14:paraId="33EBEC5B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(4)协助甲方取得项目建设任务书;</w:t>
            </w:r>
          </w:p>
          <w:p w14:paraId="184AEBB2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三、验收入库阶段:</w:t>
            </w:r>
          </w:p>
          <w:p w14:paraId="6C4E0F48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工作内容:</w:t>
            </w:r>
          </w:p>
          <w:p w14:paraId="17FDE0D3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(1)负责向甲方及施工单位进行技术交底;</w:t>
            </w:r>
          </w:p>
          <w:p w14:paraId="3CFF1BE3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(2)根据施工现场情况与甲方要求，及时派遣专业技术人员提供施工指导，并完成设计变更等后期服务工作;</w:t>
            </w:r>
          </w:p>
          <w:p w14:paraId="4DCF73AB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(3)现场施工基本完成后，及时开展竣工测量与外业航拍;提供符合要求的竣工图与航拍影像;</w:t>
            </w:r>
          </w:p>
          <w:p w14:paraId="26AEB523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(4)根据最终竣工测量成果汇总变更设计资料，并协助甲方完成竣工验收。</w:t>
            </w:r>
          </w:p>
          <w:p w14:paraId="6B724484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四、指标确认与入库</w:t>
            </w:r>
          </w:p>
          <w:p w14:paraId="1D5CC65F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工作内容:</w:t>
            </w:r>
          </w:p>
          <w:p w14:paraId="0858C455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(1)项目竣工验收后，为完成省厅指标确认工作，乙方负责报卷所需资料的收集、整理以及远程报卷系统操作等工作;</w:t>
            </w:r>
          </w:p>
          <w:p w14:paraId="4426689F">
            <w:pPr>
              <w:pStyle w:val="6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(2)项目指标确认后，乙方将继续完成上图入库等后续工作。</w:t>
            </w:r>
          </w:p>
        </w:tc>
        <w:tc>
          <w:tcPr>
            <w:tcW w:w="1700" w:type="dxa"/>
            <w:vAlign w:val="center"/>
          </w:tcPr>
          <w:p w14:paraId="3AA3BDB1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界线与不动产测绘</w:t>
            </w:r>
          </w:p>
        </w:tc>
        <w:tc>
          <w:tcPr>
            <w:tcW w:w="1702" w:type="dxa"/>
            <w:vAlign w:val="center"/>
          </w:tcPr>
          <w:p w14:paraId="359BF313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1.5413</w:t>
            </w:r>
          </w:p>
        </w:tc>
        <w:tc>
          <w:tcPr>
            <w:tcW w:w="1575" w:type="dxa"/>
            <w:vAlign w:val="center"/>
          </w:tcPr>
          <w:p w14:paraId="61027D42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2020.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05.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1426" w:type="dxa"/>
            <w:vAlign w:val="center"/>
          </w:tcPr>
          <w:p w14:paraId="2B90C98C">
            <w:pPr>
              <w:pStyle w:val="6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双峰县自然资源局</w:t>
            </w:r>
          </w:p>
        </w:tc>
      </w:tr>
    </w:tbl>
    <w:p w14:paraId="1949B686">
      <w:pPr>
        <w:jc w:val="both"/>
        <w:rPr>
          <w:rFonts w:hint="default" w:ascii="Times New Roman" w:hAnsi="Times New Roman" w:cs="Times New Roman"/>
          <w:b/>
          <w:sz w:val="44"/>
          <w:szCs w:val="44"/>
        </w:rPr>
        <w:sectPr>
          <w:pgSz w:w="16838" w:h="11906" w:orient="landscape"/>
          <w:pgMar w:top="1463" w:right="1440" w:bottom="1463" w:left="1440" w:header="851" w:footer="992" w:gutter="0"/>
          <w:pgNumType w:start="1"/>
          <w:cols w:space="425" w:num="1"/>
          <w:docGrid w:type="lines" w:linePitch="312" w:charSpace="0"/>
        </w:sectPr>
      </w:pPr>
    </w:p>
    <w:p w14:paraId="781972B5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p w14:paraId="6DCC5C04">
      <w:pPr>
        <w:rPr>
          <w:rFonts w:hint="default" w:ascii="Times New Roman" w:hAnsi="Times New Roman" w:cs="Times New Roman"/>
          <w:sz w:val="24"/>
        </w:rPr>
      </w:pPr>
    </w:p>
    <w:tbl>
      <w:tblPr>
        <w:tblStyle w:val="3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0590"/>
        <w:gridCol w:w="1886"/>
      </w:tblGrid>
      <w:tr w14:paraId="0F8B9F1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58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15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4379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7FC6356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62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1F7DDBD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02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spacing w:val="-11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pacing w:val="-11"/>
                <w:kern w:val="0"/>
                <w:sz w:val="24"/>
                <w:lang w:bidi="ar"/>
              </w:rPr>
              <w:t>基本要求</w:t>
            </w: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29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13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956A90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B6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pacing w:val="-11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AC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5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2B0E37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F9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pacing w:val="-11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31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EA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5EB112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5E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pacing w:val="-11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97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B9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5405619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8F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pacing w:val="-11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31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41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7B8BD8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78E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pacing w:val="-11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81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50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2B569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C4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pacing w:val="-11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BC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3E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7C1B0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85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C2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7D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794A6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BF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05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39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6E423D2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25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5B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93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1D5401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4B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54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75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0FBAE4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97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70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42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3810C13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16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DC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F8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74FAC6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03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35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FC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4B59235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E9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76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ED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51AF277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71B44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85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86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4B362FE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EE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11DAF23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E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E92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B0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5E04031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21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0E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82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5F2493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25B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D76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3F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D8311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9C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1FD9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3D7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36B6A4A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57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A8F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79A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5635B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BF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2C3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E0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7B4434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7E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4F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12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2386D2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C5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BC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3D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72DCC9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9CF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FA447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44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4B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8B7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328A87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56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91D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7B9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5B033B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6D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FC2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64F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218FED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31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54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6C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7C8E08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61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9E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71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B07CB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5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0D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2A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48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353B0F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FD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44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EF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</w:tbl>
    <w:p w14:paraId="7780522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2847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42B40"/>
    <w:rsid w:val="19F142E2"/>
    <w:rsid w:val="4B842B40"/>
    <w:rsid w:val="57AD6B7C"/>
    <w:rsid w:val="6FD4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4679</Words>
  <Characters>4879</Characters>
  <Lines>0</Lines>
  <Paragraphs>0</Paragraphs>
  <TotalTime>29</TotalTime>
  <ScaleCrop>false</ScaleCrop>
  <LinksUpToDate>false</LinksUpToDate>
  <CharactersWithSpaces>4911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2026-09-04T02:03:00Z</dcterms:created>
  <dc:creator>Nikki</dc:creator>
  <cp:lastModifiedBy>zzZ~</cp:lastModifiedBy>
  <dcterms:modified xsi:type="dcterms:W3CDTF">2026-09-07T02:49:57Z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39C88E24F2104390831E5ACFDA39D2EB_11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