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E942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5102193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168A9B6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60534A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湖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>南宏烨遥感测绘服务有限公司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6A23A2D9">
      <w:pPr>
        <w:rPr>
          <w:rFonts w:hint="default" w:ascii="Times New Roman" w:hAnsi="Times New Roman" w:cs="Times New Roman"/>
          <w:b/>
          <w:color w:val="auto"/>
          <w:sz w:val="36"/>
        </w:rPr>
      </w:pPr>
    </w:p>
    <w:p w14:paraId="0183D61F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</w:p>
    <w:p w14:paraId="5CB5B36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410BBC0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</w:pPr>
    </w:p>
    <w:p w14:paraId="68418DE2">
      <w:pPr>
        <w:numPr>
          <w:ilvl w:val="0"/>
          <w:numId w:val="1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湖南宏烨遥感测绘服务有限公司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湖南省</w:t>
            </w:r>
            <w:r>
              <w:rPr>
                <w:rFonts w:hint="eastAsia" w:ascii="宋体" w:hAnsi="宋体"/>
                <w:color w:val="auto"/>
                <w:sz w:val="24"/>
              </w:rPr>
              <w:t>汝城县三星工业园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郭小爱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乙级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：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摄影测量与遥感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工程测量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界线与不动产测绘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地理信息系统工程</w:t>
            </w:r>
          </w:p>
        </w:tc>
      </w:tr>
    </w:tbl>
    <w:p w14:paraId="26B8FDB0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D245D36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FBD05DB">
      <w:pPr>
        <w:jc w:val="center"/>
        <w:rPr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6375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E176B">
            <w:pPr>
              <w:spacing w:line="4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测绘专业高级技术人员</w:t>
            </w:r>
          </w:p>
        </w:tc>
      </w:tr>
      <w:tr w14:paraId="727E1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F0B3D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1153A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52889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C78A5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6E0E3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2933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84D9C">
            <w:pPr>
              <w:spacing w:line="400" w:lineRule="exact"/>
              <w:jc w:val="center"/>
              <w:rPr>
                <w:rFonts w:ascii="宋体" w:hAnsi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71D52">
            <w:pPr>
              <w:spacing w:line="400" w:lineRule="exact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bidi="ar"/>
              </w:rPr>
              <w:t>何爱保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F2FE">
            <w:pPr>
              <w:spacing w:line="400" w:lineRule="exact"/>
              <w:jc w:val="center"/>
              <w:rPr>
                <w:rFonts w:ascii="宋体" w:hAnsi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6C123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A9F1">
            <w:pPr>
              <w:adjustRightInd w:val="0"/>
              <w:snapToGrid w:val="0"/>
              <w:ind w:left="-105" w:right="-105"/>
              <w:jc w:val="center"/>
              <w:rPr>
                <w:rFonts w:ascii="宋体" w:hAnsi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2F1F6A16">
      <w:pPr>
        <w:rPr>
          <w:color w:val="auto"/>
        </w:rPr>
      </w:pPr>
    </w:p>
    <w:p w14:paraId="321067C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507852A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0DCB464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53EC3E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42B849D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10B0F6B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4E5AD99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FF2712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A76B44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9B2A84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7513F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9B7FB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唐贵勇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2D6A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7575D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1A0DF2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83C5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09118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王凝锶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66E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96E6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A051EF">
            <w:pPr>
              <w:tabs>
                <w:tab w:val="center" w:pos="2448"/>
                <w:tab w:val="left" w:pos="2972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 w:bidi="ar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07614C1">
      <w:pPr>
        <w:rPr>
          <w:rFonts w:hint="default" w:ascii="Times New Roman" w:hAnsi="Times New Roman" w:cs="Times New Roman"/>
          <w:color w:val="auto"/>
        </w:rPr>
      </w:pPr>
    </w:p>
    <w:p w14:paraId="7B1C3D2A">
      <w:pPr>
        <w:rPr>
          <w:rFonts w:hint="default" w:ascii="Times New Roman" w:hAnsi="Times New Roman" w:cs="Times New Roman"/>
          <w:color w:val="auto"/>
        </w:rPr>
      </w:pPr>
    </w:p>
    <w:p w14:paraId="57E90DA7">
      <w:pPr>
        <w:rPr>
          <w:rFonts w:hint="default" w:ascii="Times New Roman" w:hAnsi="Times New Roman" w:cs="Times New Roman"/>
          <w:color w:val="auto"/>
        </w:rPr>
      </w:pPr>
    </w:p>
    <w:p w14:paraId="3596EE8C">
      <w:pPr>
        <w:rPr>
          <w:rFonts w:hint="default" w:ascii="Times New Roman" w:hAnsi="Times New Roman" w:cs="Times New Roman"/>
          <w:color w:val="auto"/>
        </w:rPr>
      </w:pPr>
    </w:p>
    <w:p w14:paraId="09638A55">
      <w:pPr>
        <w:rPr>
          <w:rFonts w:hint="default" w:ascii="Times New Roman" w:hAnsi="Times New Roman" w:cs="Times New Roman"/>
          <w:color w:val="auto"/>
        </w:rPr>
      </w:pPr>
    </w:p>
    <w:p w14:paraId="2B40EBF1">
      <w:pPr>
        <w:rPr>
          <w:rFonts w:hint="default" w:ascii="Times New Roman" w:hAnsi="Times New Roman" w:cs="Times New Roman"/>
          <w:color w:val="auto"/>
        </w:rPr>
      </w:pPr>
    </w:p>
    <w:p w14:paraId="2DEAE217">
      <w:pPr>
        <w:rPr>
          <w:rFonts w:hint="default" w:ascii="Times New Roman" w:hAnsi="Times New Roman" w:cs="Times New Roman"/>
          <w:color w:val="auto"/>
        </w:rPr>
      </w:pPr>
    </w:p>
    <w:p w14:paraId="4A9D5065">
      <w:pPr>
        <w:rPr>
          <w:rFonts w:hint="default" w:ascii="Times New Roman" w:hAnsi="Times New Roman" w:cs="Times New Roman"/>
          <w:color w:val="auto"/>
        </w:rPr>
      </w:pPr>
    </w:p>
    <w:p w14:paraId="45570002">
      <w:pPr>
        <w:rPr>
          <w:rFonts w:hint="default" w:ascii="Times New Roman" w:hAnsi="Times New Roman" w:cs="Times New Roman"/>
          <w:color w:val="auto"/>
        </w:rPr>
      </w:pPr>
    </w:p>
    <w:p w14:paraId="6B31B324">
      <w:pPr>
        <w:rPr>
          <w:rFonts w:hint="default" w:ascii="Times New Roman" w:hAnsi="Times New Roman" w:cs="Times New Roman"/>
          <w:color w:val="auto"/>
        </w:rPr>
      </w:pPr>
    </w:p>
    <w:p w14:paraId="4C534D4D">
      <w:pPr>
        <w:rPr>
          <w:rFonts w:hint="default" w:ascii="Times New Roman" w:hAnsi="Times New Roman" w:cs="Times New Roman"/>
          <w:color w:val="auto"/>
        </w:rPr>
      </w:pPr>
    </w:p>
    <w:p w14:paraId="0871E904">
      <w:pPr>
        <w:rPr>
          <w:rFonts w:hint="default" w:ascii="Times New Roman" w:hAnsi="Times New Roman" w:cs="Times New Roman"/>
          <w:color w:val="auto"/>
        </w:rPr>
      </w:pPr>
    </w:p>
    <w:p w14:paraId="2F765C77">
      <w:pPr>
        <w:rPr>
          <w:rFonts w:hint="default" w:ascii="Times New Roman" w:hAnsi="Times New Roman" w:cs="Times New Roman"/>
          <w:color w:val="auto"/>
        </w:rPr>
      </w:pPr>
    </w:p>
    <w:p w14:paraId="28404ED9">
      <w:pPr>
        <w:rPr>
          <w:rFonts w:hint="default" w:ascii="Times New Roman" w:hAnsi="Times New Roman" w:cs="Times New Roman"/>
          <w:color w:val="auto"/>
        </w:rPr>
      </w:pPr>
    </w:p>
    <w:p w14:paraId="336E3CD0">
      <w:pPr>
        <w:rPr>
          <w:rFonts w:hint="default" w:ascii="Times New Roman" w:hAnsi="Times New Roman" w:cs="Times New Roman"/>
          <w:color w:val="auto"/>
        </w:rPr>
      </w:pPr>
    </w:p>
    <w:p w14:paraId="67199672">
      <w:pPr>
        <w:rPr>
          <w:rFonts w:hint="default" w:ascii="Times New Roman" w:hAnsi="Times New Roman" w:cs="Times New Roman"/>
          <w:color w:val="auto"/>
        </w:rPr>
      </w:pPr>
    </w:p>
    <w:p w14:paraId="6C30DDF9">
      <w:pPr>
        <w:rPr>
          <w:rFonts w:hint="default" w:ascii="Times New Roman" w:hAnsi="Times New Roman" w:cs="Times New Roman"/>
          <w:color w:val="auto"/>
        </w:rPr>
      </w:pPr>
    </w:p>
    <w:p w14:paraId="7219002B">
      <w:pPr>
        <w:rPr>
          <w:rFonts w:hint="default" w:ascii="Times New Roman" w:hAnsi="Times New Roman" w:cs="Times New Roman"/>
          <w:color w:val="auto"/>
        </w:rPr>
      </w:pPr>
    </w:p>
    <w:p w14:paraId="1E9F9ACC">
      <w:pPr>
        <w:rPr>
          <w:rFonts w:hint="default" w:ascii="Times New Roman" w:hAnsi="Times New Roman" w:cs="Times New Roman"/>
          <w:color w:val="auto"/>
        </w:rPr>
      </w:pPr>
    </w:p>
    <w:p w14:paraId="7C94B23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89"/>
        <w:gridCol w:w="2595"/>
        <w:gridCol w:w="2295"/>
        <w:gridCol w:w="4994"/>
      </w:tblGrid>
      <w:tr w14:paraId="49A92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3E298">
            <w:pPr>
              <w:spacing w:line="4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126B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409D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009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FB7C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F244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1DC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EAA2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49FE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57FA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叶鹏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C377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E266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455F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F71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B7FD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843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马明明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30C4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E631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EE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6A03A9D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5CC1EEC5">
      <w:pPr>
        <w:rPr>
          <w:rFonts w:hint="default" w:ascii="Times New Roman" w:hAnsi="Times New Roman" w:cs="Times New Roman"/>
          <w:color w:val="auto"/>
        </w:rPr>
      </w:pPr>
    </w:p>
    <w:p w14:paraId="21619526">
      <w:pPr>
        <w:rPr>
          <w:rFonts w:hint="default" w:ascii="Times New Roman" w:hAnsi="Times New Roman" w:cs="Times New Roman"/>
          <w:color w:val="auto"/>
        </w:rPr>
      </w:pPr>
    </w:p>
    <w:p w14:paraId="667D2DCD">
      <w:pPr>
        <w:rPr>
          <w:rFonts w:hint="default" w:ascii="Times New Roman" w:hAnsi="Times New Roman" w:cs="Times New Roman"/>
          <w:color w:val="auto"/>
        </w:rPr>
      </w:pPr>
    </w:p>
    <w:p w14:paraId="60F32DDD">
      <w:pPr>
        <w:rPr>
          <w:rFonts w:hint="default" w:ascii="Times New Roman" w:hAnsi="Times New Roman" w:cs="Times New Roman"/>
          <w:color w:val="auto"/>
        </w:rPr>
      </w:pPr>
    </w:p>
    <w:p w14:paraId="3DC3E074">
      <w:pPr>
        <w:rPr>
          <w:rFonts w:hint="default" w:ascii="Times New Roman" w:hAnsi="Times New Roman" w:cs="Times New Roman"/>
          <w:color w:val="auto"/>
        </w:rPr>
      </w:pPr>
    </w:p>
    <w:p w14:paraId="103B58D7">
      <w:pPr>
        <w:rPr>
          <w:rFonts w:hint="default" w:ascii="Times New Roman" w:hAnsi="Times New Roman" w:cs="Times New Roman"/>
          <w:color w:val="auto"/>
        </w:rPr>
      </w:pPr>
    </w:p>
    <w:p w14:paraId="19E508AE">
      <w:pPr>
        <w:rPr>
          <w:rFonts w:hint="default" w:ascii="Times New Roman" w:hAnsi="Times New Roman" w:cs="Times New Roman"/>
          <w:color w:val="auto"/>
        </w:rPr>
      </w:pPr>
    </w:p>
    <w:p w14:paraId="5F122293">
      <w:pPr>
        <w:rPr>
          <w:rFonts w:hint="default" w:ascii="Times New Roman" w:hAnsi="Times New Roman" w:cs="Times New Roman"/>
          <w:color w:val="auto"/>
        </w:rPr>
      </w:pPr>
    </w:p>
    <w:p w14:paraId="3BD65F52">
      <w:pPr>
        <w:rPr>
          <w:rFonts w:hint="default" w:ascii="Times New Roman" w:hAnsi="Times New Roman" w:cs="Times New Roman"/>
          <w:color w:val="auto"/>
        </w:rPr>
      </w:pPr>
    </w:p>
    <w:p w14:paraId="77ED9D62">
      <w:pPr>
        <w:rPr>
          <w:rFonts w:hint="default" w:ascii="Times New Roman" w:hAnsi="Times New Roman" w:cs="Times New Roman"/>
          <w:color w:val="auto"/>
        </w:rPr>
      </w:pPr>
    </w:p>
    <w:p w14:paraId="29ED4E19">
      <w:pPr>
        <w:rPr>
          <w:rFonts w:hint="default" w:ascii="Times New Roman" w:hAnsi="Times New Roman" w:cs="Times New Roman"/>
          <w:color w:val="auto"/>
        </w:rPr>
      </w:pPr>
    </w:p>
    <w:p w14:paraId="0EE627E0">
      <w:pPr>
        <w:rPr>
          <w:rFonts w:hint="default" w:ascii="Times New Roman" w:hAnsi="Times New Roman" w:cs="Times New Roman"/>
          <w:color w:val="auto"/>
        </w:rPr>
      </w:pPr>
    </w:p>
    <w:p w14:paraId="58AC1EF3">
      <w:pPr>
        <w:rPr>
          <w:rFonts w:hint="default" w:ascii="Times New Roman" w:hAnsi="Times New Roman" w:cs="Times New Roman"/>
          <w:color w:val="auto"/>
        </w:rPr>
      </w:pPr>
    </w:p>
    <w:p w14:paraId="1916FAC8">
      <w:pPr>
        <w:rPr>
          <w:rFonts w:hint="default" w:ascii="Times New Roman" w:hAnsi="Times New Roman" w:cs="Times New Roman"/>
          <w:color w:val="auto"/>
        </w:rPr>
      </w:pPr>
    </w:p>
    <w:p w14:paraId="4045446D">
      <w:pPr>
        <w:rPr>
          <w:rFonts w:hint="default" w:ascii="Times New Roman" w:hAnsi="Times New Roman" w:cs="Times New Roman"/>
          <w:color w:val="auto"/>
        </w:rPr>
      </w:pPr>
    </w:p>
    <w:p w14:paraId="536F70F8">
      <w:pPr>
        <w:rPr>
          <w:rFonts w:hint="default" w:ascii="Times New Roman" w:hAnsi="Times New Roman" w:cs="Times New Roman"/>
          <w:color w:val="auto"/>
        </w:rPr>
      </w:pPr>
    </w:p>
    <w:p w14:paraId="0A019B33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89"/>
        <w:gridCol w:w="2610"/>
        <w:gridCol w:w="2295"/>
        <w:gridCol w:w="4979"/>
      </w:tblGrid>
      <w:tr w14:paraId="5985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813E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测绘相关专业技术人员</w:t>
            </w:r>
          </w:p>
        </w:tc>
      </w:tr>
      <w:tr w14:paraId="1AA2B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7776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675E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E8B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5757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E1B9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专业</w:t>
            </w:r>
          </w:p>
        </w:tc>
      </w:tr>
      <w:tr w14:paraId="43D1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6D42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D4FC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李洪生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E4A2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1DE3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D38D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煤矿开采技术</w:t>
            </w:r>
          </w:p>
        </w:tc>
      </w:tr>
      <w:tr w14:paraId="22B9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53E8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0E3F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毛润发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970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B3B5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0AD0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计算机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信息管理</w:t>
            </w:r>
          </w:p>
        </w:tc>
      </w:tr>
      <w:tr w14:paraId="1CBF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AD09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CD78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邓佳情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9A13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E36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4413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计算机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应用技术</w:t>
            </w:r>
          </w:p>
        </w:tc>
      </w:tr>
    </w:tbl>
    <w:p w14:paraId="01688AD5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54140859">
      <w:pPr>
        <w:rPr>
          <w:rFonts w:hint="default" w:ascii="Times New Roman" w:hAnsi="Times New Roman" w:cs="Times New Roman"/>
          <w:color w:val="auto"/>
        </w:rPr>
      </w:pPr>
    </w:p>
    <w:p w14:paraId="4A2FDFE6">
      <w:pPr>
        <w:rPr>
          <w:rFonts w:hint="default" w:ascii="Times New Roman" w:hAnsi="Times New Roman" w:cs="Times New Roman"/>
          <w:color w:val="auto"/>
        </w:rPr>
      </w:pPr>
    </w:p>
    <w:p w14:paraId="110D4F2C">
      <w:pPr>
        <w:rPr>
          <w:rFonts w:hint="default" w:ascii="Times New Roman" w:hAnsi="Times New Roman" w:cs="Times New Roman"/>
          <w:color w:val="auto"/>
        </w:rPr>
      </w:pPr>
    </w:p>
    <w:p w14:paraId="554DF1D2">
      <w:pPr>
        <w:rPr>
          <w:rFonts w:hint="default" w:ascii="Times New Roman" w:hAnsi="Times New Roman" w:cs="Times New Roman"/>
          <w:color w:val="auto"/>
        </w:rPr>
      </w:pPr>
    </w:p>
    <w:p w14:paraId="6DFAA93B">
      <w:pPr>
        <w:rPr>
          <w:rFonts w:hint="default" w:ascii="Times New Roman" w:hAnsi="Times New Roman" w:cs="Times New Roman"/>
          <w:color w:val="auto"/>
        </w:rPr>
      </w:pPr>
    </w:p>
    <w:p w14:paraId="2AA8A314">
      <w:pPr>
        <w:rPr>
          <w:rFonts w:hint="default" w:ascii="Times New Roman" w:hAnsi="Times New Roman" w:cs="Times New Roman"/>
          <w:color w:val="auto"/>
        </w:rPr>
      </w:pPr>
    </w:p>
    <w:p w14:paraId="70B2078E">
      <w:pPr>
        <w:rPr>
          <w:rFonts w:hint="default" w:ascii="Times New Roman" w:hAnsi="Times New Roman" w:cs="Times New Roman"/>
          <w:color w:val="auto"/>
        </w:rPr>
      </w:pPr>
    </w:p>
    <w:p w14:paraId="31059E42">
      <w:pPr>
        <w:rPr>
          <w:rFonts w:hint="default" w:ascii="Times New Roman" w:hAnsi="Times New Roman" w:cs="Times New Roman"/>
          <w:color w:val="auto"/>
        </w:rPr>
      </w:pPr>
    </w:p>
    <w:p w14:paraId="396002EB">
      <w:pPr>
        <w:rPr>
          <w:rFonts w:hint="default" w:ascii="Times New Roman" w:hAnsi="Times New Roman" w:cs="Times New Roman"/>
          <w:color w:val="auto"/>
        </w:rPr>
      </w:pPr>
    </w:p>
    <w:p w14:paraId="4E17659A">
      <w:pPr>
        <w:rPr>
          <w:rFonts w:hint="default" w:ascii="Times New Roman" w:hAnsi="Times New Roman" w:cs="Times New Roman"/>
          <w:color w:val="auto"/>
        </w:rPr>
      </w:pPr>
    </w:p>
    <w:p w14:paraId="5B55C6E1">
      <w:pPr>
        <w:rPr>
          <w:rFonts w:hint="default" w:ascii="Times New Roman" w:hAnsi="Times New Roman" w:cs="Times New Roman"/>
          <w:color w:val="auto"/>
        </w:rPr>
      </w:pPr>
    </w:p>
    <w:p w14:paraId="312E4758">
      <w:pPr>
        <w:rPr>
          <w:rFonts w:hint="default" w:ascii="Times New Roman" w:hAnsi="Times New Roman" w:cs="Times New Roman"/>
          <w:color w:val="auto"/>
        </w:rPr>
      </w:pPr>
    </w:p>
    <w:p w14:paraId="0CB51B24">
      <w:pPr>
        <w:rPr>
          <w:rFonts w:hint="default" w:ascii="Times New Roman" w:hAnsi="Times New Roman" w:cs="Times New Roman"/>
          <w:color w:val="auto"/>
        </w:rPr>
      </w:pPr>
    </w:p>
    <w:p w14:paraId="47B8D4A1">
      <w:pPr>
        <w:rPr>
          <w:rFonts w:hint="default" w:ascii="Times New Roman" w:hAnsi="Times New Roman" w:cs="Times New Roman"/>
          <w:color w:val="auto"/>
        </w:rPr>
      </w:pPr>
    </w:p>
    <w:p w14:paraId="2C9E237C">
      <w:pPr>
        <w:numPr>
          <w:ilvl w:val="0"/>
          <w:numId w:val="0"/>
        </w:numPr>
        <w:ind w:leftChars="0"/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18"/>
          <w:szCs w:val="18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三、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技术装备</w:t>
      </w:r>
    </w:p>
    <w:tbl>
      <w:tblPr>
        <w:tblStyle w:val="4"/>
        <w:tblW w:w="14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5253"/>
        <w:gridCol w:w="7189"/>
        <w:gridCol w:w="862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4AC1D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826633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地理信息处理软件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58C36E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cass7.0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88A2B2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4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D4544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A8908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地理信息系统平台软件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E8DBA7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中云图真三维规划辅助决策系统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411CD3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8C3D31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1793CB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"javascript:__doPostBack('GvData$ctl16$Link_EquipmentName','')"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遥感图像处理系统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B2F0E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无人机管家专业版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F0428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051CBA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BC4286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摄影测量系统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ED00B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OP3000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DE6AD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2CC87A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277178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71DD9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canon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8576BD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D70D31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4572F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A608FA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大疆 M3E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25A740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1FEFFA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6254C5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"javascript:__doPostBack('GvData$ctl12$Link_EquipmentName','')"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30882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phentom4(CN)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F03A7F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39E07F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CCF67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0164A8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D2000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82F041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4C02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495154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4B05FC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C109B1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RTS-822R3X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34C471A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19C4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C1AB5C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D70DA1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57B9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NTS332R6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0E59033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0A54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5D4FF7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73CC3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GNSS接收机（不低于5mm+1ppm精度）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00B1E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华测X11RTK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FD7D45E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4</w:t>
            </w:r>
          </w:p>
        </w:tc>
      </w:tr>
      <w:tr w14:paraId="0AA0D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2687F2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B37BE9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673027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DS05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72F9F2F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1</w:t>
            </w:r>
          </w:p>
        </w:tc>
      </w:tr>
      <w:tr w14:paraId="20FD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9EC6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13</w:t>
            </w:r>
          </w:p>
        </w:tc>
        <w:tc>
          <w:tcPr>
            <w:tcW w:w="5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A164A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7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71288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bidi="ar"/>
              </w:rPr>
              <w:t>科麦斯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345CC">
            <w:pPr>
              <w:snapToGrid w:val="0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</w:tbl>
    <w:p w14:paraId="4EA0ADFA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684267A">
      <w:pPr>
        <w:numPr>
          <w:ilvl w:val="0"/>
          <w:numId w:val="2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292"/>
        <w:gridCol w:w="4472"/>
        <w:gridCol w:w="1719"/>
        <w:gridCol w:w="1719"/>
        <w:gridCol w:w="1720"/>
        <w:gridCol w:w="1720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汝城县第四次全国文物普查服务项目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，受汝城县文化旅游广电体育局委托，承担汝城县第四次全国文物普查服务项目，合同金额64.68万元。工作内容包括：对已认定、登记的不可移动文物进行复查，同时调查、认定、登记新发现的不可移动文物等文物普查工作。项目于2024年11月25日启动，2026年4月18日通过湖南省第四次全国文物普查领导小组办公室组织的省级验收，验收结论合格，汝城县新发现率达50.29%，位居全市前列。项目成果资料已全部移交甲方，合同款项已全额支付，双方合同义务已全部履行完毕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64.6800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湖南省第四次全国文物普查领导小组办公室</w:t>
            </w:r>
          </w:p>
        </w:tc>
      </w:tr>
      <w:tr w14:paraId="1C48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E24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D65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热水楠木垅康养项目调整规划补充测绘服务项目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5A18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热水镇，受汝城县热水镇人民政府委托，承担热水楠木垅康养项目调整规划补充测绘服务工作，合同金额13.068万元。工作内容包括：根据设计要求调整规划用地，对增加范围进行征地测量；对拟征地范围进行红线放样；对原地形图以外新增加区域按要求进行1:1000地形图补测。项目成果已提交甲方汝城县热水镇人民政府，经甲方确认验收合格，合同义务已全部履行完毕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8054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CFCFE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F5F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13.0680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F04B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CFCFE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CFCF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CFCFE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CFCF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CFCFE"/>
              </w:rPr>
              <w:t>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15F5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DFDFE"/>
              </w:rPr>
              <w:t>汝城县热水镇人民政府</w:t>
            </w:r>
          </w:p>
        </w:tc>
      </w:tr>
      <w:tr w14:paraId="0E9CE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80F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6A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汝城县大坪镇（大坪首府）房建测绘技术服务项目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A288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大坪镇大坪首府，受汝城县住房保障服务中心委托，对A区3#、4#、5#、29#栋，B区8#、9#、10#、11#、12#、13#栋，C区20#、22#、23#栋，D区25#、26#、27#、28#栋，E区1#、2#栋共19幢商住房开展房建测绘技术服务，总建筑面积约4.6万平方米，合同金额15万元。工作内容包括：建筑面积复核、1:500地形图测绘、分户室工程内容核查、出具分层分户项目清单与分户图、竣工核查报告书。项目成果已通过甲方验收，项目款项已全额支付，合同义务已全部履行完毕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5A93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A11B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15.0000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5A74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46CF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汝城县住房保障服务中心</w:t>
            </w:r>
          </w:p>
        </w:tc>
      </w:tr>
      <w:tr w14:paraId="414B6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C74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0272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汝城县国土空间基础信息平台建设项目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2D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，湖南宏烨遥感测绘服务有限公司作为联合体协作方，参与汝城县国土空间基础信息平台建设项目，负责数据收集（与各股室对接收集内部数据、制作发函文件与其他单位对接收集相关数据）、数据处理（将收集到的数据格式转换为shape格式）、数据发布等工作。项目成果已提交联合体牵头方长沙市中智信息技术开发有限公司，经牵头方确认合格并已通过业主方汝城县自然资源局验收，项目款项已结算支付，合同义务已全部履行完毕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E40B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6BE8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18.2300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1D13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95FD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汝城县自然资源局</w:t>
            </w:r>
          </w:p>
        </w:tc>
      </w:tr>
      <w:tr w14:paraId="721C1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5F64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BBF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汝城县2023年日常变更调查和年度国土变更调查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4CF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，受汝城县自然资源局委托，承担汝城县2023年日常变更调查和年度国土变更调查工作，合同金额128万元。工作内容包括：对国家、省级、市县监测图斑进行外业举证核实、信息填报、单图斑建库并上报审核；对部下发监测图斑进行内业核实、外业调查举证、统计变化情况、建立国土变更调查数据库、提取增量包上报并汇交成果；对国家级和省级内、外业检查意见进行修改完善；开展2023年度耕地资源质量分类年度更新与监测工作。项目成果已按照《全国国土变更调查实施方案》要求，逐级通过省级全面检查和自然资源部国家级核查，于2024年6月30日正式通过国家级内外业核查与数据库质检，数据库成果已通过“互联网+”在线检查，全部成果资料已移交甲方汝城县自然资源局，项目款项已按合同约定全额支付，双方合同义务已全部履行完毕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F1F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F910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128.0000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7C3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7A13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自然资源部（国家级核查）</w:t>
            </w:r>
          </w:p>
        </w:tc>
      </w:tr>
      <w:tr w14:paraId="1482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51A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8F1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汝城县国有资产资源可盘活测绘技术服务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F10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，受汝城县财政局委托，开展汝城县国有资产资源可盘活测绘技术服务工作，项目金额11万元。工作内容包括对汝城县国有资产资源进行测绘调查、数据采集、成果编制等，提交测绘成果报告书。项目于2023年9月25日完成并提交测绘成果报告书13份，经甲方汝城县财政局审核确认，成果资料已通过验收，项目款项已全额支付，合同双方义务已全部履行完毕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E10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A6E5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11.0000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C9F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F976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汝城县财政局与汝城县自然资源局</w:t>
            </w:r>
          </w:p>
        </w:tc>
      </w:tr>
      <w:tr w14:paraId="262E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A868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26E6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2022年"春苗行动一承诺耕种地块"调查举证工作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889B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湖南省郴州市汝城县，主要对2022年“春苗行动”承诺耕种地块开展实地调查举证工作，项目金额27.72万元。工作内容包括：逐地块开展外业调查举证，核实地类情况，确保承诺耕种地块在规定时间内实现耕地地类核定；对承诺地块不能落实耕种的图斑进行切割、数据分析；对置换地块选址航飞并提供矢量数据；进行数据统计分析；对分割图斑进行还原地类的外业调查举证。项目自合同签订起三个月内完成，成果资料已全部提交甲方汝城县自然资源局，经甲方审核确认成果质量合格，已完成项目验收并全额支付合同款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828C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6C39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27.7200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1646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D84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汝城县自然资局</w:t>
            </w:r>
          </w:p>
        </w:tc>
      </w:tr>
    </w:tbl>
    <w:p w14:paraId="219605B6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322325B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8A02DC5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1B8A98DD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5A55C04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66E10BC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DA71EA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D342CD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CB77DBA">
      <w:pPr>
        <w:rPr>
          <w:color w:val="auto"/>
        </w:rPr>
      </w:pPr>
    </w:p>
    <w:bookmarkEnd w:id="0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18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5BD3D"/>
    <w:multiLevelType w:val="singleLevel"/>
    <w:tmpl w:val="4F65BD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D4FB12C"/>
    <w:multiLevelType w:val="singleLevel"/>
    <w:tmpl w:val="7D4FB12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10E0A9E"/>
    <w:rsid w:val="01906042"/>
    <w:rsid w:val="066617DF"/>
    <w:rsid w:val="09D44063"/>
    <w:rsid w:val="0C861F9E"/>
    <w:rsid w:val="1CE86334"/>
    <w:rsid w:val="1DE313DB"/>
    <w:rsid w:val="1F3177BA"/>
    <w:rsid w:val="20D6510A"/>
    <w:rsid w:val="28D75E87"/>
    <w:rsid w:val="2D6700EE"/>
    <w:rsid w:val="2E634E3C"/>
    <w:rsid w:val="315F1835"/>
    <w:rsid w:val="34207E00"/>
    <w:rsid w:val="343A4EA1"/>
    <w:rsid w:val="344572AC"/>
    <w:rsid w:val="34DC2B27"/>
    <w:rsid w:val="3833269E"/>
    <w:rsid w:val="4012322F"/>
    <w:rsid w:val="43524C50"/>
    <w:rsid w:val="4AC22FAD"/>
    <w:rsid w:val="4B242B00"/>
    <w:rsid w:val="4CA4521C"/>
    <w:rsid w:val="5010017C"/>
    <w:rsid w:val="53670B95"/>
    <w:rsid w:val="5DEE2AAE"/>
    <w:rsid w:val="5F231EDA"/>
    <w:rsid w:val="62484D38"/>
    <w:rsid w:val="647E710B"/>
    <w:rsid w:val="6B6E2FFD"/>
    <w:rsid w:val="7765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3606</Words>
  <Characters>3915</Characters>
  <Lines>0</Lines>
  <Paragraphs>0</Paragraphs>
  <TotalTime>0</TotalTime>
  <ScaleCrop>false</ScaleCrop>
  <LinksUpToDate>false</LinksUpToDate>
  <CharactersWithSpaces>3921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2026-07-29T17:20:00Z</dcterms:created>
  <dc:creator>Administrator</dc:creator>
  <cp:lastModifiedBy>田wy</cp:lastModifiedBy>
  <dcterms:modified xsi:type="dcterms:W3CDTF">2026-09-14T01:26:26Z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8439BC5B77954DA8ABFDFBA3203ED19D_13</vt:lpwstr>
  </property>
</Properties>
</file>