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8CF78">
      <w:pPr>
        <w:tabs>
          <w:tab w:val="left" w:pos="12120"/>
        </w:tabs>
        <w:jc w:val="both"/>
        <w:rPr>
          <w:rFonts w:hint="eastAsia" w:ascii="方正小标宋简体" w:hAnsi="方正小标宋简体" w:eastAsia="方正小标宋简体" w:cs="方正小标宋简体"/>
          <w:bCs/>
          <w:color w:val="auto"/>
          <w:sz w:val="48"/>
          <w:szCs w:val="48"/>
          <w:u w:val="single"/>
          <w:lang w:bidi="ar"/>
        </w:rPr>
      </w:pPr>
    </w:p>
    <w:p w14:paraId="66AD6514">
      <w:pPr>
        <w:tabs>
          <w:tab w:val="left" w:pos="12120"/>
        </w:tabs>
        <w:jc w:val="both"/>
        <w:rPr>
          <w:rFonts w:hint="eastAsia" w:ascii="方正小标宋简体" w:hAnsi="方正小标宋简体" w:eastAsia="方正小标宋简体" w:cs="方正小标宋简体"/>
          <w:bCs/>
          <w:color w:val="auto"/>
          <w:sz w:val="48"/>
          <w:szCs w:val="48"/>
          <w:u w:val="single"/>
          <w:lang w:bidi="ar"/>
        </w:rPr>
      </w:pPr>
    </w:p>
    <w:p w14:paraId="55ECA6D6">
      <w:pPr>
        <w:tabs>
          <w:tab w:val="left" w:pos="12120"/>
        </w:tabs>
        <w:jc w:val="both"/>
        <w:rPr>
          <w:rFonts w:hint="eastAsia" w:ascii="方正小标宋简体" w:hAnsi="方正小标宋简体" w:eastAsia="方正小标宋简体" w:cs="方正小标宋简体"/>
          <w:bCs/>
          <w:color w:val="auto"/>
          <w:sz w:val="48"/>
          <w:szCs w:val="48"/>
          <w:u w:val="single"/>
          <w:lang w:bidi="ar"/>
        </w:rPr>
      </w:pPr>
    </w:p>
    <w:p w14:paraId="460534A2">
      <w:pPr>
        <w:tabs>
          <w:tab w:val="left" w:pos="12120"/>
        </w:tabs>
        <w:jc w:val="center"/>
        <w:rPr>
          <w:rFonts w:ascii="方正小标宋简体" w:hAnsi="方正小标宋简体" w:eastAsia="方正小标宋简体" w:cs="方正小标宋简体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8"/>
          <w:szCs w:val="48"/>
          <w:u w:val="single"/>
          <w:lang w:val="en-US" w:eastAsia="zh-CN" w:bidi="ar"/>
        </w:rPr>
        <w:t xml:space="preserve"> 常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8"/>
          <w:szCs w:val="48"/>
          <w:u w:val="single"/>
          <w:lang w:bidi="ar"/>
        </w:rPr>
        <w:t xml:space="preserve">德市智信勘测设计有限公司 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8"/>
          <w:szCs w:val="48"/>
          <w:lang w:bidi="ar"/>
        </w:rPr>
        <w:t>测绘资质证书延续申请</w:t>
      </w:r>
    </w:p>
    <w:p w14:paraId="0976ADFE">
      <w:pPr>
        <w:jc w:val="center"/>
        <w:rPr>
          <w:rFonts w:ascii="方正小标宋简体" w:hAnsi="方正小标宋简体" w:eastAsia="方正小标宋简体" w:cs="方正小标宋简体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ascii="Times New Roman" w:hAnsi="Times New Roman"/>
          <w:bCs/>
          <w:color w:val="auto"/>
          <w:sz w:val="36"/>
          <w:szCs w:val="36"/>
        </w:rPr>
      </w:pPr>
      <w:r>
        <w:rPr>
          <w:rFonts w:ascii="Times New Roman" w:hAnsi="Times New Roman"/>
          <w:bCs/>
          <w:color w:val="auto"/>
          <w:sz w:val="36"/>
          <w:szCs w:val="36"/>
          <w:lang w:bidi="ar"/>
        </w:rPr>
        <w:t>（仅填写非涉密信息）</w:t>
      </w:r>
    </w:p>
    <w:p w14:paraId="3B6C84E4">
      <w:pPr>
        <w:rPr>
          <w:rFonts w:ascii="Times New Roman" w:hAnsi="Times New Roman"/>
          <w:color w:val="auto"/>
        </w:rPr>
      </w:pPr>
    </w:p>
    <w:p w14:paraId="1E3FF6CF">
      <w:pPr>
        <w:rPr>
          <w:rFonts w:ascii="Times New Roman" w:hAnsi="Times New Roman"/>
          <w:color w:val="auto"/>
        </w:rPr>
      </w:pPr>
    </w:p>
    <w:p w14:paraId="0B1A75B6">
      <w:pPr>
        <w:rPr>
          <w:rFonts w:ascii="Times New Roman" w:hAnsi="Times New Roman"/>
          <w:color w:val="auto"/>
        </w:rPr>
      </w:pPr>
    </w:p>
    <w:p w14:paraId="1B1CFDBA">
      <w:pPr>
        <w:rPr>
          <w:rFonts w:ascii="Times New Roman" w:hAnsi="Times New Roman"/>
          <w:color w:val="auto"/>
        </w:rPr>
      </w:pPr>
    </w:p>
    <w:p w14:paraId="4FD1A593">
      <w:pPr>
        <w:rPr>
          <w:rFonts w:ascii="Times New Roman" w:hAnsi="Times New Roman"/>
          <w:color w:val="auto"/>
        </w:rPr>
      </w:pPr>
    </w:p>
    <w:p w14:paraId="70D88DE8">
      <w:pPr>
        <w:jc w:val="center"/>
        <w:rPr>
          <w:rFonts w:ascii="Times New Roman" w:hAnsi="Times New Roman"/>
          <w:b/>
          <w:color w:val="auto"/>
          <w:sz w:val="36"/>
          <w:lang w:bidi="ar"/>
        </w:rPr>
      </w:pPr>
      <w:r>
        <w:rPr>
          <w:rFonts w:ascii="Times New Roman" w:hAnsi="Times New Roman"/>
          <w:b/>
          <w:color w:val="auto"/>
          <w:sz w:val="36"/>
          <w:lang w:bidi="ar"/>
        </w:rPr>
        <w:t xml:space="preserve"> </w:t>
      </w:r>
    </w:p>
    <w:p w14:paraId="68C89803">
      <w:pPr>
        <w:jc w:val="center"/>
        <w:rPr>
          <w:rFonts w:ascii="Times New Roman" w:hAnsi="Times New Roman"/>
          <w:b/>
          <w:color w:val="auto"/>
          <w:sz w:val="36"/>
          <w:lang w:bidi="ar"/>
        </w:rPr>
      </w:pPr>
    </w:p>
    <w:p w14:paraId="6A23A2D9">
      <w:pPr>
        <w:rPr>
          <w:rFonts w:ascii="Times New Roman" w:hAnsi="Times New Roman"/>
          <w:b/>
          <w:color w:val="auto"/>
          <w:sz w:val="36"/>
        </w:rPr>
      </w:pPr>
    </w:p>
    <w:p w14:paraId="68418DE2">
      <w:pPr>
        <w:numPr>
          <w:ilvl w:val="0"/>
          <w:numId w:val="1"/>
        </w:numPr>
        <w:jc w:val="center"/>
        <w:rPr>
          <w:rFonts w:ascii="方正小标宋_GBK" w:hAnsi="方正小标宋_GBK" w:eastAsia="方正小标宋_GBK" w:cs="方正小标宋_GBK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bidi="ar"/>
        </w:rPr>
        <w:t>单位基本情况及所申请延续资质等级类别</w:t>
      </w:r>
    </w:p>
    <w:tbl>
      <w:tblPr>
        <w:tblStyle w:val="4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E5F2F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常德市智信勘测设计有限公司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6EA3D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73145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湖南省常德市鼎城区红云街道德安社区图吉小区5号楼102铺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BB166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占世葳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70B7C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乙级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工程测量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界线与不动产测绘</w:t>
            </w:r>
          </w:p>
        </w:tc>
      </w:tr>
    </w:tbl>
    <w:p w14:paraId="26B8FDB0">
      <w:pPr>
        <w:rPr>
          <w:rFonts w:ascii="Times New Roman" w:hAnsi="Times New Roman"/>
          <w:color w:val="auto"/>
        </w:rPr>
      </w:pPr>
    </w:p>
    <w:p w14:paraId="3D780408">
      <w:pPr>
        <w:jc w:val="center"/>
        <w:rPr>
          <w:rFonts w:ascii="Times New Roman" w:hAnsi="Times New Roman"/>
          <w:b/>
          <w:color w:val="auto"/>
          <w:spacing w:val="70"/>
          <w:sz w:val="36"/>
        </w:rPr>
      </w:pPr>
    </w:p>
    <w:p w14:paraId="29C481CB">
      <w:pPr>
        <w:jc w:val="center"/>
        <w:rPr>
          <w:rFonts w:ascii="Times New Roman" w:hAnsi="Times New Roman"/>
          <w:b/>
          <w:color w:val="auto"/>
          <w:spacing w:val="70"/>
          <w:sz w:val="36"/>
        </w:rPr>
      </w:pPr>
    </w:p>
    <w:p w14:paraId="7213C11F">
      <w:pPr>
        <w:jc w:val="center"/>
        <w:rPr>
          <w:rFonts w:ascii="Times New Roman" w:hAnsi="Times New Roman"/>
          <w:b/>
          <w:color w:val="auto"/>
          <w:spacing w:val="70"/>
          <w:sz w:val="36"/>
        </w:rPr>
      </w:pPr>
    </w:p>
    <w:p w14:paraId="6B16A218">
      <w:pPr>
        <w:jc w:val="center"/>
        <w:rPr>
          <w:rFonts w:ascii="Times New Roman" w:hAnsi="Times New Roman"/>
          <w:b/>
          <w:color w:val="auto"/>
          <w:spacing w:val="70"/>
          <w:sz w:val="36"/>
        </w:rPr>
      </w:pPr>
    </w:p>
    <w:p w14:paraId="729D09B4">
      <w:pPr>
        <w:jc w:val="center"/>
        <w:rPr>
          <w:rFonts w:ascii="Times New Roman" w:hAnsi="Times New Roman"/>
          <w:b/>
          <w:color w:val="auto"/>
          <w:spacing w:val="70"/>
          <w:sz w:val="36"/>
        </w:rPr>
      </w:pPr>
    </w:p>
    <w:p w14:paraId="704A2214">
      <w:pPr>
        <w:jc w:val="center"/>
        <w:rPr>
          <w:rFonts w:ascii="Times New Roman" w:hAnsi="Times New Roman"/>
          <w:b/>
          <w:color w:val="auto"/>
          <w:spacing w:val="70"/>
          <w:sz w:val="36"/>
        </w:rPr>
      </w:pPr>
    </w:p>
    <w:p w14:paraId="0D245D36">
      <w:pPr>
        <w:jc w:val="center"/>
        <w:rPr>
          <w:rFonts w:ascii="Times New Roman" w:hAnsi="Times New Roman"/>
          <w:b/>
          <w:color w:val="auto"/>
          <w:spacing w:val="70"/>
          <w:sz w:val="36"/>
        </w:rPr>
      </w:pPr>
    </w:p>
    <w:p w14:paraId="22B6A3DD">
      <w:pPr>
        <w:jc w:val="center"/>
        <w:rPr>
          <w:rFonts w:ascii="方正小标宋_GBK" w:hAnsi="方正小标宋_GBK" w:eastAsia="方正小标宋_GBK" w:cs="方正小标宋_GBK"/>
          <w:color w:val="auto"/>
          <w:szCs w:val="21"/>
          <w:lang w:bidi="ar"/>
        </w:rPr>
      </w:pPr>
      <w:r>
        <w:rPr>
          <w:rFonts w:ascii="Times New Roman" w:hAnsi="Times New Roman"/>
          <w:color w:val="auto"/>
          <w:lang w:bidi="ar"/>
        </w:rPr>
        <w:br w:type="textWrapping"/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bidi="ar"/>
        </w:rPr>
        <w:t>二、专业技术人员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A2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bookmarkStart w:id="0" w:name="_GoBack"/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bookmarkEnd w:id="0"/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00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D6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A8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ADB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B6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51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B7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占世葳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2D6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757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4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A0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8532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83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91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刘国文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66E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6E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4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05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AE06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39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4E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庄天乐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9D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DA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4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04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3C52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FA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9A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肖靓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A2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B8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4A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5C094F37">
      <w:pPr>
        <w:rPr>
          <w:rFonts w:ascii="Times New Roman" w:hAnsi="Times New Roman"/>
          <w:color w:val="auto"/>
        </w:rPr>
      </w:pPr>
    </w:p>
    <w:p w14:paraId="3C80C795">
      <w:pPr>
        <w:rPr>
          <w:rFonts w:ascii="Times New Roman" w:hAnsi="Times New Roman"/>
          <w:color w:val="auto"/>
        </w:rPr>
      </w:pPr>
    </w:p>
    <w:p w14:paraId="2648CC7D">
      <w:pPr>
        <w:rPr>
          <w:rFonts w:ascii="Times New Roman" w:hAnsi="Times New Roman"/>
          <w:color w:val="auto"/>
        </w:rPr>
      </w:pPr>
    </w:p>
    <w:p w14:paraId="7C94B235">
      <w:pPr>
        <w:rPr>
          <w:rFonts w:ascii="Times New Roman" w:hAnsi="Times New Roman"/>
          <w:color w:val="auto"/>
        </w:rPr>
      </w:pPr>
    </w:p>
    <w:p w14:paraId="3868328E">
      <w:pPr>
        <w:rPr>
          <w:rFonts w:ascii="Times New Roman" w:hAnsi="Times New Roman"/>
          <w:color w:val="auto"/>
        </w:rPr>
      </w:pPr>
    </w:p>
    <w:p w14:paraId="24711FCD">
      <w:pPr>
        <w:rPr>
          <w:rFonts w:ascii="Times New Roman" w:hAnsi="Times New Roman"/>
          <w:color w:val="auto"/>
        </w:rPr>
      </w:pPr>
    </w:p>
    <w:p w14:paraId="7BCD49EA">
      <w:pPr>
        <w:rPr>
          <w:rFonts w:ascii="Times New Roman" w:hAnsi="Times New Roman"/>
          <w:color w:val="auto"/>
        </w:rPr>
      </w:pPr>
    </w:p>
    <w:p w14:paraId="60C14C09">
      <w:pPr>
        <w:rPr>
          <w:rFonts w:ascii="Times New Roman" w:hAnsi="Times New Roman"/>
          <w:color w:val="auto"/>
        </w:rPr>
      </w:pPr>
    </w:p>
    <w:p w14:paraId="4E62E510">
      <w:pPr>
        <w:rPr>
          <w:rFonts w:ascii="Times New Roman" w:hAnsi="Times New Roman"/>
          <w:color w:val="auto"/>
        </w:rPr>
      </w:pPr>
    </w:p>
    <w:p w14:paraId="5060FCB4">
      <w:pPr>
        <w:rPr>
          <w:rFonts w:ascii="Times New Roman" w:hAnsi="Times New Roman"/>
          <w:color w:val="auto"/>
        </w:rPr>
      </w:pPr>
    </w:p>
    <w:p w14:paraId="3C85DD5E">
      <w:pPr>
        <w:rPr>
          <w:rFonts w:ascii="Times New Roman" w:hAnsi="Times New Roman"/>
          <w:color w:val="auto"/>
        </w:rPr>
      </w:pPr>
    </w:p>
    <w:p w14:paraId="70B4D57E">
      <w:pPr>
        <w:rPr>
          <w:rFonts w:ascii="Times New Roman" w:hAnsi="Times New Roman"/>
          <w:color w:val="auto"/>
        </w:rPr>
      </w:pPr>
    </w:p>
    <w:p w14:paraId="54140859">
      <w:pPr>
        <w:rPr>
          <w:rFonts w:ascii="Times New Roman" w:hAnsi="Times New Roman"/>
          <w:color w:val="auto"/>
        </w:rPr>
      </w:pPr>
    </w:p>
    <w:p w14:paraId="78D07126">
      <w:pPr>
        <w:rPr>
          <w:rFonts w:ascii="Times New Roman" w:hAnsi="Times New Roman"/>
          <w:color w:val="auto"/>
        </w:rPr>
      </w:pPr>
    </w:p>
    <w:p w14:paraId="0AE44518">
      <w:pPr>
        <w:rPr>
          <w:rFonts w:ascii="Times New Roman" w:hAnsi="Times New Roman"/>
          <w:color w:val="auto"/>
        </w:rPr>
      </w:pPr>
    </w:p>
    <w:p w14:paraId="51F930D7">
      <w:pPr>
        <w:rPr>
          <w:rFonts w:ascii="Times New Roman" w:hAnsi="Times New Roman"/>
          <w:color w:val="auto"/>
        </w:rPr>
      </w:pPr>
    </w:p>
    <w:tbl>
      <w:tblPr>
        <w:tblStyle w:val="4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D90E6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测绘专业初级技术人员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10BF8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64191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37158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AC9DE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D06779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CA532">
            <w:pPr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8BF17">
            <w:pPr>
              <w:spacing w:line="240" w:lineRule="exact"/>
              <w:ind w:left="-105" w:right="-105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穰鹏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CEBA0">
            <w:pPr>
              <w:spacing w:line="240" w:lineRule="exact"/>
              <w:ind w:right="-105"/>
              <w:jc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D2DB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4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8075F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55C04522">
      <w:pPr>
        <w:rPr>
          <w:rFonts w:ascii="Times New Roman" w:hAnsi="Times New Roman"/>
          <w:color w:val="auto"/>
        </w:rPr>
      </w:pPr>
    </w:p>
    <w:p w14:paraId="11386BB7">
      <w:pPr>
        <w:rPr>
          <w:rFonts w:ascii="Times New Roman" w:hAnsi="Times New Roman"/>
          <w:color w:val="auto"/>
        </w:rPr>
      </w:pPr>
    </w:p>
    <w:p w14:paraId="36D4D737">
      <w:pPr>
        <w:rPr>
          <w:rFonts w:ascii="Times New Roman" w:hAnsi="Times New Roman"/>
          <w:color w:val="auto"/>
        </w:rPr>
      </w:pPr>
    </w:p>
    <w:p w14:paraId="0CB51B24">
      <w:pPr>
        <w:rPr>
          <w:rFonts w:ascii="Times New Roman" w:hAnsi="Times New Roman"/>
          <w:color w:val="auto"/>
        </w:rPr>
      </w:pPr>
    </w:p>
    <w:p w14:paraId="4F7BA465">
      <w:pPr>
        <w:rPr>
          <w:rFonts w:ascii="Times New Roman" w:hAnsi="Times New Roman"/>
          <w:color w:val="auto"/>
        </w:rPr>
      </w:pPr>
    </w:p>
    <w:p w14:paraId="337256E1">
      <w:pPr>
        <w:rPr>
          <w:rFonts w:ascii="Times New Roman" w:hAnsi="Times New Roman"/>
          <w:color w:val="auto"/>
        </w:rPr>
      </w:pPr>
    </w:p>
    <w:p w14:paraId="48506F95">
      <w:pPr>
        <w:rPr>
          <w:rFonts w:ascii="Times New Roman" w:hAnsi="Times New Roman"/>
          <w:color w:val="auto"/>
        </w:rPr>
      </w:pPr>
    </w:p>
    <w:p w14:paraId="3340A5A0">
      <w:pPr>
        <w:rPr>
          <w:rFonts w:ascii="Times New Roman" w:hAnsi="Times New Roman"/>
          <w:color w:val="auto"/>
        </w:rPr>
      </w:pPr>
    </w:p>
    <w:p w14:paraId="2814EDA3">
      <w:pPr>
        <w:rPr>
          <w:rFonts w:ascii="Times New Roman" w:hAnsi="Times New Roman"/>
          <w:color w:val="auto"/>
        </w:rPr>
      </w:pPr>
    </w:p>
    <w:p w14:paraId="1E25272D">
      <w:pPr>
        <w:rPr>
          <w:rFonts w:ascii="Times New Roman" w:hAnsi="Times New Roman"/>
          <w:color w:val="auto"/>
        </w:rPr>
      </w:pPr>
    </w:p>
    <w:p w14:paraId="4C84BE34">
      <w:pPr>
        <w:rPr>
          <w:rFonts w:ascii="Times New Roman" w:hAnsi="Times New Roman"/>
          <w:color w:val="auto"/>
        </w:rPr>
      </w:pPr>
    </w:p>
    <w:p w14:paraId="6A765D29">
      <w:pPr>
        <w:rPr>
          <w:rFonts w:ascii="Times New Roman" w:hAnsi="Times New Roman"/>
          <w:color w:val="auto"/>
        </w:rPr>
      </w:pPr>
    </w:p>
    <w:p w14:paraId="6CDB9403">
      <w:pPr>
        <w:rPr>
          <w:rFonts w:ascii="Times New Roman" w:hAnsi="Times New Roman"/>
          <w:color w:val="auto"/>
        </w:rPr>
      </w:pPr>
    </w:p>
    <w:p w14:paraId="6A5D0DC1">
      <w:pPr>
        <w:rPr>
          <w:rFonts w:ascii="Times New Roman" w:hAnsi="Times New Roman"/>
          <w:color w:val="auto"/>
        </w:rPr>
      </w:pPr>
    </w:p>
    <w:p w14:paraId="1DF10C81">
      <w:pPr>
        <w:rPr>
          <w:rFonts w:ascii="Times New Roman" w:hAnsi="Times New Roman"/>
          <w:color w:val="auto"/>
        </w:rPr>
      </w:pPr>
    </w:p>
    <w:p w14:paraId="51F5829E">
      <w:pPr>
        <w:rPr>
          <w:rFonts w:ascii="Times New Roman" w:hAnsi="Times New Roman"/>
          <w:color w:val="auto"/>
        </w:rPr>
      </w:pPr>
    </w:p>
    <w:p w14:paraId="157B3D79">
      <w:pPr>
        <w:rPr>
          <w:rFonts w:ascii="Times New Roman" w:hAnsi="Times New Roman"/>
          <w:color w:val="auto"/>
        </w:rPr>
      </w:pPr>
    </w:p>
    <w:p w14:paraId="407A2A73">
      <w:pPr>
        <w:rPr>
          <w:rFonts w:ascii="Times New Roman" w:hAnsi="Times New Roman"/>
          <w:color w:val="auto"/>
        </w:rPr>
      </w:pPr>
    </w:p>
    <w:p w14:paraId="38B0AD2B">
      <w:pPr>
        <w:rPr>
          <w:rFonts w:ascii="Times New Roman" w:hAnsi="Times New Roman"/>
          <w:color w:val="auto"/>
        </w:rPr>
      </w:pPr>
    </w:p>
    <w:p w14:paraId="20DA81FE">
      <w:pPr>
        <w:rPr>
          <w:rFonts w:ascii="Times New Roman" w:hAnsi="Times New Roman"/>
          <w:color w:val="auto"/>
        </w:rPr>
      </w:pPr>
    </w:p>
    <w:p w14:paraId="0DA56FDB">
      <w:pPr>
        <w:rPr>
          <w:rFonts w:ascii="Times New Roman" w:hAnsi="Times New Roman"/>
          <w:color w:val="auto"/>
        </w:rPr>
      </w:pPr>
    </w:p>
    <w:tbl>
      <w:tblPr>
        <w:tblStyle w:val="4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74A71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BF7E5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技术人员</w:t>
            </w:r>
          </w:p>
        </w:tc>
      </w:tr>
      <w:tr w14:paraId="2DD3F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31678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F6338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FF15A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74951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D210C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5E7CD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4FE0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4B09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雷欢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92760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70EF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70E5D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建筑工程技术</w:t>
            </w:r>
          </w:p>
        </w:tc>
      </w:tr>
    </w:tbl>
    <w:p w14:paraId="4BC88E62">
      <w:pPr>
        <w:rPr>
          <w:rFonts w:ascii="Times New Roman" w:hAnsi="Times New Roman"/>
          <w:color w:val="auto"/>
        </w:rPr>
      </w:pPr>
    </w:p>
    <w:p w14:paraId="4EFE5023">
      <w:pPr>
        <w:rPr>
          <w:rFonts w:ascii="Times New Roman" w:hAnsi="Times New Roman"/>
          <w:color w:val="auto"/>
        </w:rPr>
      </w:pPr>
    </w:p>
    <w:p w14:paraId="4FC07194">
      <w:pPr>
        <w:rPr>
          <w:rFonts w:ascii="Times New Roman" w:hAnsi="Times New Roman"/>
          <w:color w:val="auto"/>
        </w:rPr>
      </w:pPr>
    </w:p>
    <w:p w14:paraId="0AEF8D74">
      <w:pPr>
        <w:rPr>
          <w:rFonts w:ascii="Times New Roman" w:hAnsi="Times New Roman"/>
          <w:color w:val="auto"/>
        </w:rPr>
      </w:pPr>
    </w:p>
    <w:p w14:paraId="4C093E63">
      <w:pPr>
        <w:rPr>
          <w:rFonts w:ascii="Times New Roman" w:hAnsi="Times New Roman"/>
          <w:color w:val="auto"/>
        </w:rPr>
      </w:pPr>
    </w:p>
    <w:p w14:paraId="2BE661F9">
      <w:pPr>
        <w:rPr>
          <w:rFonts w:ascii="Times New Roman" w:hAnsi="Times New Roman"/>
          <w:color w:val="auto"/>
        </w:rPr>
      </w:pPr>
    </w:p>
    <w:p w14:paraId="78732C26">
      <w:pPr>
        <w:rPr>
          <w:rFonts w:ascii="Times New Roman" w:hAnsi="Times New Roman"/>
          <w:color w:val="auto"/>
        </w:rPr>
      </w:pPr>
    </w:p>
    <w:p w14:paraId="7CBEEC71">
      <w:pPr>
        <w:rPr>
          <w:rFonts w:ascii="Times New Roman" w:hAnsi="Times New Roman"/>
          <w:color w:val="auto"/>
        </w:rPr>
      </w:pPr>
    </w:p>
    <w:p w14:paraId="2DD3780A">
      <w:pPr>
        <w:rPr>
          <w:rFonts w:ascii="Times New Roman" w:hAnsi="Times New Roman"/>
          <w:color w:val="auto"/>
        </w:rPr>
      </w:pPr>
    </w:p>
    <w:p w14:paraId="2BABA94D">
      <w:pPr>
        <w:rPr>
          <w:rFonts w:ascii="Times New Roman" w:hAnsi="Times New Roman"/>
          <w:color w:val="auto"/>
        </w:rPr>
      </w:pPr>
    </w:p>
    <w:p w14:paraId="03C36439">
      <w:pPr>
        <w:rPr>
          <w:rFonts w:ascii="Times New Roman" w:hAnsi="Times New Roman"/>
          <w:color w:val="auto"/>
        </w:rPr>
      </w:pPr>
    </w:p>
    <w:p w14:paraId="5A44A51C">
      <w:pPr>
        <w:rPr>
          <w:rFonts w:ascii="Times New Roman" w:hAnsi="Times New Roman"/>
          <w:color w:val="auto"/>
        </w:rPr>
      </w:pPr>
    </w:p>
    <w:p w14:paraId="7EAE3F9B">
      <w:pPr>
        <w:rPr>
          <w:rFonts w:ascii="Times New Roman" w:hAnsi="Times New Roman"/>
          <w:color w:val="auto"/>
        </w:rPr>
      </w:pPr>
    </w:p>
    <w:p w14:paraId="0E4E2C21">
      <w:pPr>
        <w:rPr>
          <w:rFonts w:ascii="Times New Roman" w:hAnsi="Times New Roman"/>
          <w:color w:val="auto"/>
        </w:rPr>
      </w:pPr>
    </w:p>
    <w:p w14:paraId="54B55526">
      <w:pPr>
        <w:rPr>
          <w:rFonts w:ascii="Times New Roman" w:hAnsi="Times New Roman"/>
          <w:color w:val="auto"/>
        </w:rPr>
      </w:pPr>
    </w:p>
    <w:p w14:paraId="1153DE96">
      <w:pPr>
        <w:rPr>
          <w:rFonts w:ascii="Times New Roman" w:hAnsi="Times New Roman"/>
          <w:color w:val="auto"/>
        </w:rPr>
      </w:pPr>
    </w:p>
    <w:p w14:paraId="6A3B6D4A">
      <w:pPr>
        <w:rPr>
          <w:rFonts w:ascii="Times New Roman" w:hAnsi="Times New Roman"/>
          <w:color w:val="auto"/>
        </w:rPr>
      </w:pPr>
    </w:p>
    <w:p w14:paraId="7D08AD98">
      <w:pPr>
        <w:rPr>
          <w:rFonts w:ascii="Times New Roman" w:hAnsi="Times New Roman"/>
          <w:color w:val="auto"/>
        </w:rPr>
      </w:pPr>
    </w:p>
    <w:p w14:paraId="3374AD5D">
      <w:pPr>
        <w:rPr>
          <w:rFonts w:ascii="Times New Roman" w:hAnsi="Times New Roman"/>
          <w:color w:val="auto"/>
        </w:rPr>
      </w:pPr>
    </w:p>
    <w:p w14:paraId="3DECC871">
      <w:pPr>
        <w:rPr>
          <w:rFonts w:ascii="Times New Roman" w:hAnsi="Times New Roman"/>
          <w:color w:val="auto"/>
        </w:rPr>
      </w:pPr>
    </w:p>
    <w:p w14:paraId="3F602550">
      <w:pPr>
        <w:rPr>
          <w:rFonts w:ascii="Times New Roman" w:hAnsi="Times New Roman"/>
          <w:color w:val="auto"/>
        </w:rPr>
      </w:pPr>
    </w:p>
    <w:p w14:paraId="47B8D4A1">
      <w:pPr>
        <w:rPr>
          <w:rFonts w:ascii="Times New Roman" w:hAnsi="Times New Roman"/>
          <w:color w:val="auto"/>
        </w:rPr>
      </w:pPr>
    </w:p>
    <w:p w14:paraId="7A318BBB">
      <w:pPr>
        <w:jc w:val="center"/>
        <w:rPr>
          <w:rFonts w:ascii="Times New Roman" w:hAnsi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bidi="ar"/>
        </w:rPr>
        <w:t>三、技术装备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EFE5A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7C84C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3C126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0CFCA">
            <w:pPr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4AC1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2663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8C36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中海达iRTK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8A2B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D4544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A8908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instrText xml:space="preserve"> HYPERLINK "javascript:__doPostBack('GvData$ctl07$Link_EquipmentName','')"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8DBA7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SW-TA50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11CD3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C3D31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793CB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instrText xml:space="preserve"> HYPERLINK "javascript:__doPostBack('GvData$ctl03$Link_EquipmentName','')"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9B2F0E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RTS-822R3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F0428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51CBA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C4286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instrText xml:space="preserve"> HYPERLINK "javascript:__doPostBack('GvData$ctl04$Link_EquipmentName','')"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ED00B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RTS-822L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DE6AD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CC87A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77178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地下管线探测仪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1DD99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DXL3SGA3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576BD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70D31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572F9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begin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608FA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DSZ3-A32X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5A740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</w:t>
            </w:r>
          </w:p>
        </w:tc>
      </w:tr>
    </w:tbl>
    <w:p w14:paraId="5428D2E4">
      <w:pPr>
        <w:jc w:val="center"/>
        <w:rPr>
          <w:rFonts w:ascii="Times New Roman" w:hAnsi="Times New Roman"/>
          <w:b/>
          <w:color w:val="auto"/>
          <w:sz w:val="44"/>
          <w:szCs w:val="44"/>
        </w:rPr>
      </w:pPr>
    </w:p>
    <w:p w14:paraId="57D8E864">
      <w:pPr>
        <w:jc w:val="center"/>
        <w:rPr>
          <w:rFonts w:ascii="Times New Roman" w:hAnsi="Times New Roman"/>
          <w:color w:val="auto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bidi="ar"/>
        </w:rPr>
        <w:br w:type="page"/>
      </w: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bidi="ar"/>
        </w:rPr>
        <w:t>四、测绘项目清单</w:t>
      </w:r>
    </w:p>
    <w:tbl>
      <w:tblPr>
        <w:tblStyle w:val="4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F5695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A3F69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170DA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8521A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2B94D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val="en" w:bidi="ar"/>
              </w:rPr>
              <w:t>项目金额</w:t>
            </w:r>
          </w:p>
          <w:p w14:paraId="28B32D9B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val="en" w:bidi="ar"/>
              </w:rPr>
              <w:t>（万元）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DDED2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AC3073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  <w:lang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9DC9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C059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顺沅南金城八期综合竣工验收测绘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9097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项目位于常德市鼎城区主城区内，对顺沅南金城八期住宅小区进行综合竣工验收测绘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369C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6026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4.9300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BD9F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C135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常德市鼎城区自然资源局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7171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3B2C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滨江大道放样测绘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7447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项目位于常德市鼎城区主城区内，根据甲方提供资料放样测绘。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56D5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23B2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5.5000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BB41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5646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常德市鼎城区自然资源局</w:t>
            </w: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2915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4086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江南城区临江棚改B03地块综合竣工测绘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194C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项目位于常德市鼎城区主城区内，对棚改B03地块进行综合竣工测绘。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62A0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98D5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5.2500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5342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A400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常德市鼎城区自然资源局</w:t>
            </w:r>
          </w:p>
        </w:tc>
      </w:tr>
      <w:tr w14:paraId="4D30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D19A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35A6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石公桥镇污水管网项目测绘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A125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项目位于常德市鼎城区石公桥镇，对项目规划线路进行测量。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16D1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工程测量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D91C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0.9000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20F7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E6CD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常德市鼎城区自然资源局</w:t>
            </w:r>
          </w:p>
        </w:tc>
      </w:tr>
      <w:tr w14:paraId="70B4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ED62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9693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蔡家岗液化石油气储配站综合竣工测绘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788FCF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项目位于常德市鼎城区蔡家岗镇，对项目地块进行综合竣工测绘。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ABEC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E766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1.6000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8DC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2025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12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27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5911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常德市鼎城区自然资源局</w:t>
            </w:r>
          </w:p>
        </w:tc>
      </w:tr>
      <w:tr w14:paraId="4A48F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5784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BCBA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枉水河口节制闸地籍测绘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2192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项目位于常德市鼎城区，对项目地块进行地籍测绘。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91C8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3A03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3.0000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4488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2024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37AF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常德市鼎城区自然资源局</w:t>
            </w:r>
          </w:p>
        </w:tc>
      </w:tr>
      <w:tr w14:paraId="33114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91CC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7014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农商行中河口支行新建项目综合竣工测绘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3310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项目位于常德市鼎城区中河口镇区，对项目进行综合竣工测绘。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003F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20B2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1A62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2023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F06B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常德市鼎城区自然资源局</w:t>
            </w:r>
          </w:p>
        </w:tc>
      </w:tr>
      <w:tr w14:paraId="3D70A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7D05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BEF1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常德桃花源机场扩建工程测绘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BF03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项目位于常德桃花源机场，对机场扩建部分进行综合测绘。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95E1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AD75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21.7800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AB3AF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4703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常德市鼎城区自然资源局</w:t>
            </w:r>
          </w:p>
        </w:tc>
      </w:tr>
      <w:tr w14:paraId="69882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0D17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9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4173C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江南名苑住宅小区综合竣工测绘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EE9D5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项目地点为常德市鼎城区主城区内，对江南名苑住宅小区进行综合竣工测绘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BE5F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99AA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2.1900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4AE5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4581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常德市鼎城区自然资源局</w:t>
            </w:r>
          </w:p>
        </w:tc>
      </w:tr>
    </w:tbl>
    <w:p w14:paraId="524D9F64">
      <w:pPr>
        <w:rPr>
          <w:rFonts w:ascii="Times New Roman" w:hAnsi="Times New Roman"/>
          <w:color w:val="auto"/>
        </w:rPr>
      </w:pPr>
    </w:p>
    <w:p w14:paraId="392212B8">
      <w:pPr>
        <w:rPr>
          <w:rFonts w:ascii="Times New Roman" w:hAnsi="Times New Roman"/>
          <w:b/>
          <w:color w:val="auto"/>
          <w:sz w:val="44"/>
          <w:szCs w:val="44"/>
          <w:lang w:bidi="ar"/>
        </w:rPr>
      </w:pPr>
      <w:r>
        <w:rPr>
          <w:rFonts w:ascii="Times New Roman" w:hAnsi="Times New Roman"/>
          <w:b/>
          <w:color w:val="auto"/>
          <w:sz w:val="44"/>
          <w:szCs w:val="44"/>
          <w:lang w:bidi="ar"/>
        </w:rPr>
        <w:br w:type="page"/>
      </w:r>
    </w:p>
    <w:p w14:paraId="4512F4DC">
      <w:pPr>
        <w:jc w:val="center"/>
        <w:rPr>
          <w:rFonts w:ascii="Times New Roman" w:hAnsi="Times New Roman"/>
          <w:color w:val="auto"/>
          <w:sz w:val="2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lang w:bidi="ar"/>
        </w:rPr>
        <w:t>五、体系制度要求</w:t>
      </w:r>
    </w:p>
    <w:tbl>
      <w:tblPr>
        <w:tblStyle w:val="4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ascii="Times New Roman" w:hAnsi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Times New Roman" w:hAnsi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3.配置符合要求的安全保密专用产品，包括身份鉴别、访问控制、安全审计、保密技术防护（三合一）、漏洞扫描、计算机病毒查杀、边界安全防护和数据库安全等产品。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ascii="Times New Roman" w:hAnsi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3D609">
            <w:pPr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firstLine="98" w:firstLineChars="41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D96F4">
            <w:pPr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AEA93B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0B1289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36F68">
            <w:pPr>
              <w:rPr>
                <w:rFonts w:ascii="Times New Roman" w:hAnsi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firstLine="79" w:firstLineChars="33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Times New Roman" w:hAnsi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ascii="宋体" w:hAnsi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ascii="Times New Roman" w:hAnsi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D6D9E6">
            <w:pPr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5B692">
            <w:pPr>
              <w:rPr>
                <w:rFonts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firstLine="79" w:firstLineChars="33"/>
              <w:jc w:val="left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firstLine="79" w:firstLineChars="33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firstLine="60" w:firstLineChars="25"/>
              <w:jc w:val="left"/>
              <w:textAlignment w:val="center"/>
              <w:rPr>
                <w:rFonts w:ascii="宋体" w:hAnsi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D0233">
            <w:pPr>
              <w:spacing w:line="500" w:lineRule="exact"/>
              <w:jc w:val="center"/>
              <w:rPr>
                <w:rFonts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9729C">
            <w:pPr>
              <w:spacing w:line="500" w:lineRule="exact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D9C1F">
            <w:pPr>
              <w:spacing w:line="500" w:lineRule="exact"/>
              <w:jc w:val="center"/>
              <w:rPr>
                <w:rFonts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符合</w:t>
            </w:r>
          </w:p>
        </w:tc>
      </w:tr>
    </w:tbl>
    <w:p w14:paraId="1D65F7DB">
      <w:pPr>
        <w:rPr>
          <w:color w:val="auto"/>
        </w:rPr>
      </w:pPr>
    </w:p>
    <w:sectPr>
      <w:footerReference r:id="rId3" w:type="default"/>
      <w:pgSz w:w="16838" w:h="11906" w:orient="landscape"/>
      <w:pgMar w:top="1463" w:right="1440" w:bottom="1463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D8188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65BD3D"/>
    <w:multiLevelType w:val="singleLevel"/>
    <w:tmpl w:val="4F65BD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001F3F96"/>
    <w:rsid w:val="001F3F96"/>
    <w:rsid w:val="00421283"/>
    <w:rsid w:val="00584019"/>
    <w:rsid w:val="005B0BA1"/>
    <w:rsid w:val="007E29A2"/>
    <w:rsid w:val="008307E8"/>
    <w:rsid w:val="009D1D1F"/>
    <w:rsid w:val="00A53B28"/>
    <w:rsid w:val="00AD1F56"/>
    <w:rsid w:val="00D063F8"/>
    <w:rsid w:val="010E0A9E"/>
    <w:rsid w:val="01906042"/>
    <w:rsid w:val="0B3C04A5"/>
    <w:rsid w:val="0C861F9E"/>
    <w:rsid w:val="1CE86334"/>
    <w:rsid w:val="1DE313DB"/>
    <w:rsid w:val="1F3177BA"/>
    <w:rsid w:val="20D6510A"/>
    <w:rsid w:val="2D6700EE"/>
    <w:rsid w:val="2E634E3C"/>
    <w:rsid w:val="31501496"/>
    <w:rsid w:val="315F1835"/>
    <w:rsid w:val="34207E00"/>
    <w:rsid w:val="397B2A0F"/>
    <w:rsid w:val="4012322F"/>
    <w:rsid w:val="48DC45EF"/>
    <w:rsid w:val="5010017C"/>
    <w:rsid w:val="53364538"/>
    <w:rsid w:val="5F231EDA"/>
    <w:rsid w:val="62484D38"/>
    <w:rsid w:val="647E710B"/>
    <w:rsid w:val="66A31A8D"/>
    <w:rsid w:val="6B6E2FFD"/>
    <w:rsid w:val="6DFA4688"/>
    <w:rsid w:val="7C6E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智信测绘</Company>
  <Pages>11</Pages>
  <Words>2434</Words>
  <Characters>2651</Characters>
  <Lines>18</Lines>
  <Paragraphs>5</Paragraphs>
  <TotalTime>6</TotalTime>
  <ScaleCrop>false</ScaleCrop>
  <LinksUpToDate>false</LinksUpToDate>
  <CharactersWithSpaces>2655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2026-07-29T17:20:00Z</dcterms:created>
  <dc:creator>Administrator</dc:creator>
  <cp:lastModifiedBy>田wy</cp:lastModifiedBy>
  <dcterms:modified xsi:type="dcterms:W3CDTF">2026-09-14T01:25:17Z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eyJoZGlkIjoiYTc2ZGZiNzZiNDVlOGViOWVmM2JhOTY0NGJkNjUyYzgiLCJ1c2VySWQiOiIxOTYwNDI3ODkifQ==</vt:lpwstr>
  </property>
  <property fmtid="{D5CDD505-2E9C-101B-9397-08002B2CF9AE}" pid="4" name="ICV">
    <vt:lpwstr>AFFCFD51BB6E4D0E89CF7AC936529C65_13</vt:lpwstr>
  </property>
</Properties>
</file>