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34B3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  <w:bookmarkStart w:id="0" w:name="_GoBack"/>
    </w:p>
    <w:p w14:paraId="3F94521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19CC47C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19D400F5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0976ADFE">
      <w:pPr>
        <w:ind w:firstLine="96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  <w:t xml:space="preserve">  湖南友图信息技术有限公司  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eastAsia="zh-CN" w:bidi="ar"/>
        </w:rPr>
        <w:t>证书延续申请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主要信息公开表</w:t>
      </w:r>
    </w:p>
    <w:p w14:paraId="3F5C1552">
      <w:pPr>
        <w:jc w:val="center"/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）</w:t>
      </w:r>
    </w:p>
    <w:p w14:paraId="3B6C84E4">
      <w:pPr>
        <w:rPr>
          <w:rFonts w:hint="default" w:ascii="Times New Roman" w:hAnsi="Times New Roman" w:cs="Times New Roman"/>
          <w:color w:val="auto"/>
        </w:rPr>
      </w:pPr>
    </w:p>
    <w:p w14:paraId="1E3FF6CF">
      <w:pPr>
        <w:rPr>
          <w:rFonts w:hint="default" w:ascii="Times New Roman" w:hAnsi="Times New Roman" w:cs="Times New Roman"/>
          <w:color w:val="auto"/>
        </w:rPr>
      </w:pPr>
    </w:p>
    <w:p w14:paraId="0B1A75B6">
      <w:pPr>
        <w:rPr>
          <w:rFonts w:hint="default" w:ascii="Times New Roman" w:hAnsi="Times New Roman" w:cs="Times New Roman"/>
          <w:color w:val="auto"/>
        </w:rPr>
      </w:pPr>
    </w:p>
    <w:p w14:paraId="1B1CFDBA">
      <w:pPr>
        <w:rPr>
          <w:rFonts w:hint="default" w:ascii="Times New Roman" w:hAnsi="Times New Roman" w:cs="Times New Roman"/>
          <w:color w:val="auto"/>
        </w:rPr>
      </w:pPr>
    </w:p>
    <w:p w14:paraId="4FD1A593">
      <w:pPr>
        <w:rPr>
          <w:rFonts w:hint="default" w:ascii="Times New Roman" w:hAnsi="Times New Roman" w:cs="Times New Roman"/>
          <w:color w:val="auto"/>
        </w:rPr>
      </w:pPr>
    </w:p>
    <w:p w14:paraId="5CB5B363">
      <w:pPr>
        <w:jc w:val="both"/>
        <w:rPr>
          <w:rFonts w:hint="default" w:ascii="Times New Roman" w:hAnsi="Times New Roman" w:cs="Times New Roman"/>
          <w:b/>
          <w:color w:val="auto"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68418DE2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5F2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F4A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湖南友图信息技术有限公司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EA3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8C3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民营企业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314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57E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湖南湘江新区东方红街道岳麓西大道2450号环创园A-1栋410-1号房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B16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FDF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邵世太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0B7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9974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乙级：工程测量、界线与不动产测绘、地理信息系统工程</w:t>
            </w:r>
          </w:p>
        </w:tc>
      </w:tr>
    </w:tbl>
    <w:p w14:paraId="0E3F4885">
      <w:pPr>
        <w:rPr>
          <w:rFonts w:hint="default" w:ascii="Times New Roman" w:hAnsi="Times New Roman" w:cs="Times New Roman"/>
          <w:color w:val="auto"/>
        </w:rPr>
      </w:pPr>
    </w:p>
    <w:p w14:paraId="3D780408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29C481CB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213C11F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6B16A218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29D09B4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04A2214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1902D38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337BBD27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2A9E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2C8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02B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000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D609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A85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ADB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6E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0A0D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513F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B7FB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黄婷婷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D6A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575D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0DF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/</w:t>
            </w:r>
          </w:p>
        </w:tc>
      </w:tr>
      <w:tr w14:paraId="1B1C8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83C5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8A88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张泽文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3F2A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07A8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35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1D5C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/</w:t>
            </w:r>
          </w:p>
        </w:tc>
      </w:tr>
    </w:tbl>
    <w:p w14:paraId="1B51B414">
      <w:pPr>
        <w:rPr>
          <w:rFonts w:hint="default" w:ascii="Times New Roman" w:hAnsi="Times New Roman" w:cs="Times New Roman"/>
          <w:color w:val="auto"/>
        </w:rPr>
      </w:pPr>
    </w:p>
    <w:p w14:paraId="380E38BB">
      <w:pPr>
        <w:rPr>
          <w:rFonts w:hint="default" w:ascii="Times New Roman" w:hAnsi="Times New Roman" w:cs="Times New Roman"/>
          <w:color w:val="auto"/>
        </w:rPr>
      </w:pPr>
    </w:p>
    <w:p w14:paraId="136193E8">
      <w:pPr>
        <w:rPr>
          <w:rFonts w:hint="default" w:ascii="Times New Roman" w:hAnsi="Times New Roman" w:cs="Times New Roman"/>
          <w:color w:val="auto"/>
        </w:rPr>
      </w:pPr>
    </w:p>
    <w:p w14:paraId="23899ADB">
      <w:pPr>
        <w:rPr>
          <w:rFonts w:hint="default" w:ascii="Times New Roman" w:hAnsi="Times New Roman" w:cs="Times New Roman"/>
          <w:color w:val="auto"/>
        </w:rPr>
      </w:pPr>
    </w:p>
    <w:p w14:paraId="63DC0446">
      <w:pPr>
        <w:rPr>
          <w:rFonts w:hint="default" w:ascii="Times New Roman" w:hAnsi="Times New Roman" w:cs="Times New Roman"/>
          <w:color w:val="auto"/>
        </w:rPr>
      </w:pPr>
    </w:p>
    <w:p w14:paraId="3C950232">
      <w:pPr>
        <w:rPr>
          <w:rFonts w:hint="default" w:ascii="Times New Roman" w:hAnsi="Times New Roman" w:cs="Times New Roman"/>
          <w:color w:val="auto"/>
        </w:rPr>
      </w:pPr>
    </w:p>
    <w:p w14:paraId="1DDF90A6">
      <w:pPr>
        <w:rPr>
          <w:rFonts w:hint="default" w:ascii="Times New Roman" w:hAnsi="Times New Roman" w:cs="Times New Roman"/>
          <w:color w:val="auto"/>
        </w:rPr>
      </w:pPr>
    </w:p>
    <w:p w14:paraId="0E08F5DA">
      <w:pPr>
        <w:rPr>
          <w:rFonts w:hint="default" w:ascii="Times New Roman" w:hAnsi="Times New Roman" w:cs="Times New Roman"/>
          <w:color w:val="auto"/>
        </w:rPr>
      </w:pPr>
    </w:p>
    <w:p w14:paraId="19CD3A18">
      <w:pPr>
        <w:rPr>
          <w:rFonts w:hint="default" w:ascii="Times New Roman" w:hAnsi="Times New Roman" w:cs="Times New Roman"/>
          <w:color w:val="auto"/>
        </w:rPr>
      </w:pPr>
    </w:p>
    <w:p w14:paraId="366AC1EA">
      <w:pPr>
        <w:rPr>
          <w:rFonts w:hint="default" w:ascii="Times New Roman" w:hAnsi="Times New Roman" w:cs="Times New Roman"/>
          <w:color w:val="auto"/>
        </w:rPr>
      </w:pPr>
    </w:p>
    <w:p w14:paraId="370688D2">
      <w:pPr>
        <w:rPr>
          <w:rFonts w:hint="default" w:ascii="Times New Roman" w:hAnsi="Times New Roman" w:cs="Times New Roman"/>
          <w:color w:val="auto"/>
        </w:rPr>
      </w:pPr>
    </w:p>
    <w:p w14:paraId="56BAB18A">
      <w:pPr>
        <w:rPr>
          <w:rFonts w:hint="default" w:ascii="Times New Roman" w:hAnsi="Times New Roman" w:cs="Times New Roman"/>
          <w:color w:val="auto"/>
        </w:rPr>
      </w:pPr>
    </w:p>
    <w:p w14:paraId="077157E2">
      <w:pPr>
        <w:rPr>
          <w:rFonts w:hint="default" w:ascii="Times New Roman" w:hAnsi="Times New Roman" w:cs="Times New Roman"/>
          <w:color w:val="auto"/>
        </w:rPr>
      </w:pPr>
    </w:p>
    <w:p w14:paraId="73E8ED34">
      <w:pPr>
        <w:rPr>
          <w:rFonts w:hint="default" w:ascii="Times New Roman" w:hAnsi="Times New Roman" w:cs="Times New Roman"/>
          <w:color w:val="auto"/>
        </w:rPr>
      </w:pPr>
    </w:p>
    <w:p w14:paraId="2648CC7D">
      <w:pPr>
        <w:rPr>
          <w:rFonts w:hint="default" w:ascii="Times New Roman" w:hAnsi="Times New Roman" w:cs="Times New Roman"/>
          <w:color w:val="auto"/>
        </w:rPr>
      </w:pPr>
    </w:p>
    <w:p w14:paraId="08EB95BA">
      <w:pPr>
        <w:rPr>
          <w:rFonts w:hint="default" w:ascii="Times New Roman" w:hAnsi="Times New Roman" w:cs="Times New Roman"/>
          <w:color w:val="auto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01D5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5AB5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级技术人员</w:t>
            </w:r>
          </w:p>
        </w:tc>
      </w:tr>
      <w:tr w14:paraId="7497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1E3E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D84F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2C65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3D94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0607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6E57D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08D1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73DC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李佳颖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5224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FD8B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28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69FF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/</w:t>
            </w:r>
          </w:p>
        </w:tc>
      </w:tr>
      <w:tr w14:paraId="44F59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28AB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1D14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  <w:t>黄攀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4BC8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AF16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26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569A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/</w:t>
            </w:r>
          </w:p>
        </w:tc>
      </w:tr>
      <w:tr w14:paraId="2EF02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9381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81E3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钟黎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A6B3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02E2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30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44C0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/</w:t>
            </w:r>
          </w:p>
        </w:tc>
      </w:tr>
      <w:tr w14:paraId="41B20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22ED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5D86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王大来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16F4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EA0A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30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3362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/</w:t>
            </w:r>
          </w:p>
        </w:tc>
      </w:tr>
    </w:tbl>
    <w:p w14:paraId="440ED238">
      <w:pPr>
        <w:rPr>
          <w:rFonts w:hint="default" w:ascii="Times New Roman" w:hAnsi="Times New Roman" w:cs="Times New Roman"/>
          <w:color w:val="auto"/>
        </w:rPr>
      </w:pPr>
    </w:p>
    <w:p w14:paraId="3571D6AE">
      <w:pPr>
        <w:rPr>
          <w:rFonts w:hint="default" w:ascii="Times New Roman" w:hAnsi="Times New Roman" w:cs="Times New Roman"/>
          <w:color w:val="auto"/>
        </w:rPr>
      </w:pPr>
    </w:p>
    <w:p w14:paraId="70884248">
      <w:pPr>
        <w:rPr>
          <w:rFonts w:hint="default" w:ascii="Times New Roman" w:hAnsi="Times New Roman" w:cs="Times New Roman"/>
          <w:color w:val="auto"/>
        </w:rPr>
      </w:pPr>
    </w:p>
    <w:p w14:paraId="3868328E">
      <w:pPr>
        <w:rPr>
          <w:rFonts w:hint="default" w:ascii="Times New Roman" w:hAnsi="Times New Roman" w:cs="Times New Roman"/>
          <w:color w:val="auto"/>
        </w:rPr>
      </w:pPr>
    </w:p>
    <w:p w14:paraId="24711FCD">
      <w:pPr>
        <w:rPr>
          <w:rFonts w:hint="default" w:ascii="Times New Roman" w:hAnsi="Times New Roman" w:cs="Times New Roman"/>
          <w:color w:val="auto"/>
        </w:rPr>
      </w:pPr>
    </w:p>
    <w:p w14:paraId="7BCD49EA">
      <w:pPr>
        <w:rPr>
          <w:rFonts w:hint="default" w:ascii="Times New Roman" w:hAnsi="Times New Roman" w:cs="Times New Roman"/>
          <w:color w:val="auto"/>
        </w:rPr>
      </w:pPr>
    </w:p>
    <w:p w14:paraId="60C14C09">
      <w:pPr>
        <w:rPr>
          <w:rFonts w:hint="default" w:ascii="Times New Roman" w:hAnsi="Times New Roman" w:cs="Times New Roman"/>
          <w:color w:val="auto"/>
        </w:rPr>
      </w:pPr>
    </w:p>
    <w:p w14:paraId="4E62E510">
      <w:pPr>
        <w:rPr>
          <w:rFonts w:hint="default" w:ascii="Times New Roman" w:hAnsi="Times New Roman" w:cs="Times New Roman"/>
          <w:color w:val="auto"/>
        </w:rPr>
      </w:pPr>
    </w:p>
    <w:p w14:paraId="5060FCB4">
      <w:pPr>
        <w:rPr>
          <w:rFonts w:hint="default" w:ascii="Times New Roman" w:hAnsi="Times New Roman" w:cs="Times New Roman"/>
          <w:color w:val="auto"/>
        </w:rPr>
      </w:pPr>
    </w:p>
    <w:p w14:paraId="25C95095">
      <w:pPr>
        <w:rPr>
          <w:rFonts w:hint="default" w:ascii="Times New Roman" w:hAnsi="Times New Roman" w:cs="Times New Roman"/>
          <w:color w:val="auto"/>
        </w:rPr>
      </w:pPr>
    </w:p>
    <w:p w14:paraId="3C85DD5E">
      <w:pPr>
        <w:rPr>
          <w:rFonts w:hint="default" w:ascii="Times New Roman" w:hAnsi="Times New Roman" w:cs="Times New Roman"/>
          <w:color w:val="auto"/>
        </w:rPr>
      </w:pPr>
    </w:p>
    <w:p w14:paraId="70B4D57E">
      <w:pPr>
        <w:rPr>
          <w:rFonts w:hint="default" w:ascii="Times New Roman" w:hAnsi="Times New Roman" w:cs="Times New Roman"/>
          <w:color w:val="auto"/>
        </w:rPr>
      </w:pPr>
    </w:p>
    <w:p w14:paraId="6BBE2AF7">
      <w:pPr>
        <w:rPr>
          <w:rFonts w:hint="default" w:ascii="Times New Roman" w:hAnsi="Times New Roman" w:cs="Times New Roman"/>
          <w:color w:val="auto"/>
        </w:rPr>
      </w:pPr>
    </w:p>
    <w:p w14:paraId="593339C5">
      <w:pPr>
        <w:rPr>
          <w:rFonts w:hint="default" w:ascii="Times New Roman" w:hAnsi="Times New Roman" w:cs="Times New Roman"/>
          <w:color w:val="auto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1F1C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D90E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技术人员</w:t>
            </w:r>
          </w:p>
        </w:tc>
      </w:tr>
      <w:tr w14:paraId="181D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10BF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6419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3715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AC9D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0677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6889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CA53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BF1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胡小丽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CEBA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D2DB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41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075F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自然资源确权登记</w:t>
            </w:r>
          </w:p>
        </w:tc>
      </w:tr>
      <w:tr w14:paraId="196E3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13CD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77AE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易吉忠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17A8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1FE9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27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32FB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  <w:t>土木工程</w:t>
            </w:r>
          </w:p>
        </w:tc>
      </w:tr>
    </w:tbl>
    <w:p w14:paraId="488D5190">
      <w:pPr>
        <w:rPr>
          <w:rFonts w:hint="default" w:ascii="Times New Roman" w:hAnsi="Times New Roman" w:cs="Times New Roman"/>
          <w:color w:val="auto"/>
        </w:rPr>
      </w:pPr>
    </w:p>
    <w:p w14:paraId="6A71C300">
      <w:pPr>
        <w:rPr>
          <w:rFonts w:hint="default" w:ascii="Times New Roman" w:hAnsi="Times New Roman" w:cs="Times New Roman"/>
          <w:color w:val="auto"/>
        </w:rPr>
      </w:pPr>
    </w:p>
    <w:p w14:paraId="7E174023">
      <w:pPr>
        <w:rPr>
          <w:rFonts w:hint="default" w:ascii="Times New Roman" w:hAnsi="Times New Roman" w:cs="Times New Roman"/>
          <w:color w:val="auto"/>
        </w:rPr>
      </w:pPr>
    </w:p>
    <w:p w14:paraId="0C417510">
      <w:pPr>
        <w:rPr>
          <w:rFonts w:hint="default" w:ascii="Times New Roman" w:hAnsi="Times New Roman" w:cs="Times New Roman"/>
          <w:color w:val="auto"/>
        </w:rPr>
      </w:pPr>
    </w:p>
    <w:p w14:paraId="46B36103">
      <w:pPr>
        <w:rPr>
          <w:rFonts w:hint="default" w:ascii="Times New Roman" w:hAnsi="Times New Roman" w:cs="Times New Roman"/>
          <w:color w:val="auto"/>
        </w:rPr>
      </w:pPr>
    </w:p>
    <w:p w14:paraId="03A1C4FB">
      <w:pPr>
        <w:rPr>
          <w:rFonts w:hint="default" w:ascii="Times New Roman" w:hAnsi="Times New Roman" w:cs="Times New Roman"/>
          <w:color w:val="auto"/>
        </w:rPr>
      </w:pPr>
    </w:p>
    <w:p w14:paraId="68C5DE53">
      <w:pPr>
        <w:rPr>
          <w:rFonts w:hint="default" w:ascii="Times New Roman" w:hAnsi="Times New Roman" w:cs="Times New Roman"/>
          <w:color w:val="auto"/>
        </w:rPr>
      </w:pPr>
    </w:p>
    <w:p w14:paraId="1746AE94">
      <w:pPr>
        <w:rPr>
          <w:rFonts w:hint="default" w:ascii="Times New Roman" w:hAnsi="Times New Roman" w:cs="Times New Roman"/>
          <w:color w:val="auto"/>
        </w:rPr>
      </w:pPr>
    </w:p>
    <w:p w14:paraId="0A00E63E">
      <w:pPr>
        <w:rPr>
          <w:rFonts w:hint="default" w:ascii="Times New Roman" w:hAnsi="Times New Roman" w:cs="Times New Roman"/>
          <w:color w:val="auto"/>
        </w:rPr>
      </w:pPr>
    </w:p>
    <w:p w14:paraId="25D50C70">
      <w:pPr>
        <w:rPr>
          <w:rFonts w:hint="default" w:ascii="Times New Roman" w:hAnsi="Times New Roman" w:cs="Times New Roman"/>
          <w:color w:val="auto"/>
        </w:rPr>
      </w:pPr>
    </w:p>
    <w:p w14:paraId="60843E1B">
      <w:pPr>
        <w:rPr>
          <w:rFonts w:hint="default" w:ascii="Times New Roman" w:hAnsi="Times New Roman" w:cs="Times New Roman"/>
          <w:color w:val="auto"/>
        </w:rPr>
      </w:pPr>
    </w:p>
    <w:p w14:paraId="6C7689C4">
      <w:pPr>
        <w:rPr>
          <w:rFonts w:hint="default" w:ascii="Times New Roman" w:hAnsi="Times New Roman" w:cs="Times New Roman"/>
          <w:color w:val="auto"/>
        </w:rPr>
      </w:pPr>
    </w:p>
    <w:p w14:paraId="6193FDA2">
      <w:pPr>
        <w:rPr>
          <w:rFonts w:hint="default" w:ascii="Times New Roman" w:hAnsi="Times New Roman" w:cs="Times New Roman"/>
          <w:color w:val="auto"/>
        </w:rPr>
      </w:pPr>
    </w:p>
    <w:p w14:paraId="6BF811B6">
      <w:pPr>
        <w:rPr>
          <w:rFonts w:hint="default" w:ascii="Times New Roman" w:hAnsi="Times New Roman" w:cs="Times New Roman"/>
          <w:color w:val="auto"/>
        </w:rPr>
      </w:pPr>
    </w:p>
    <w:p w14:paraId="5F77A053">
      <w:pPr>
        <w:rPr>
          <w:rFonts w:hint="default" w:ascii="Times New Roman" w:hAnsi="Times New Roman" w:cs="Times New Roman"/>
          <w:color w:val="auto"/>
        </w:rPr>
      </w:pPr>
    </w:p>
    <w:p w14:paraId="11386BB7">
      <w:pPr>
        <w:rPr>
          <w:rFonts w:hint="default" w:ascii="Times New Roman" w:hAnsi="Times New Roman" w:cs="Times New Roman"/>
          <w:color w:val="auto"/>
        </w:rPr>
      </w:pPr>
    </w:p>
    <w:p w14:paraId="4C62867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7A318BBB">
      <w:pPr>
        <w:jc w:val="center"/>
        <w:rPr>
          <w:rFonts w:hint="default" w:ascii="Times New Roman" w:hAnsi="Times New Roman" w:cs="Times New Roman"/>
          <w:color w:val="auto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C7D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EFE5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7C84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3C12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CFC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数量</w:t>
            </w:r>
          </w:p>
        </w:tc>
      </w:tr>
      <w:tr w14:paraId="3295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4AC1D">
            <w:pPr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26633">
            <w:pPr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bidi="ar"/>
              </w:rPr>
              <w:fldChar w:fldCharType="begin"/>
            </w:r>
            <w:r>
              <w:rPr>
                <w:rFonts w:hint="eastAsia" w:ascii="宋体" w:hAnsi="宋体" w:cs="宋体"/>
                <w:color w:val="auto"/>
                <w:sz w:val="24"/>
                <w:lang w:bidi="ar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cs="宋体"/>
                <w:color w:val="auto"/>
                <w:sz w:val="24"/>
                <w:lang w:bidi="ar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t>GNSS接收机（不低于5mm+1ppm精度）</w:t>
            </w: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8C36E">
            <w:pPr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bidi="ar"/>
              </w:rPr>
              <w:t>南方S82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88A2B2">
            <w:pPr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2</w:t>
            </w:r>
          </w:p>
        </w:tc>
      </w:tr>
      <w:tr w14:paraId="2E81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D4544">
            <w:pPr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A8908">
            <w:pPr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bidi="ar"/>
              </w:rPr>
              <w:fldChar w:fldCharType="begin"/>
            </w:r>
            <w:r>
              <w:rPr>
                <w:rFonts w:hint="eastAsia" w:ascii="宋体" w:hAnsi="宋体" w:cs="宋体"/>
                <w:color w:val="auto"/>
                <w:sz w:val="24"/>
                <w:lang w:bidi="ar"/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cs="宋体"/>
                <w:color w:val="auto"/>
                <w:sz w:val="24"/>
                <w:lang w:bidi="ar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t>全站仪（不低于2秒级精度）</w:t>
            </w: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8DBA7">
            <w:pPr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bidi="ar"/>
              </w:rPr>
              <w:t>南方NTS-332R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411CD3">
            <w:pPr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2</w:t>
            </w:r>
          </w:p>
        </w:tc>
      </w:tr>
      <w:tr w14:paraId="1F07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C3D31">
            <w:pPr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793CB">
            <w:pPr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fldChar w:fldCharType="begin"/>
            </w: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instrText xml:space="preserve"> HYPERLINK "javascript:__doPostBack('GvData$ctl06$Link_EquipmentName','')" </w:instrText>
            </w: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t>地理信息处理软件</w:t>
            </w: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B2F0E">
            <w:pPr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t>中地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DF0428">
            <w:pPr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5</w:t>
            </w:r>
          </w:p>
        </w:tc>
      </w:tr>
      <w:tr w14:paraId="5EFD5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51CBA">
            <w:pPr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C4286">
            <w:pPr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fldChar w:fldCharType="begin"/>
            </w: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instrText xml:space="preserve"> HYPERLINK "javascript:__doPostBack('GvData$ctl07$Link_EquipmentName','')" </w:instrText>
            </w: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t>地理信息系统平台软件</w:t>
            </w: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ED00B">
            <w:pPr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t>中地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BDE6AD">
            <w:pPr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5</w:t>
            </w:r>
          </w:p>
        </w:tc>
      </w:tr>
      <w:tr w14:paraId="704F9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CC87A">
            <w:pPr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77178">
            <w:pPr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fldChar w:fldCharType="begin"/>
            </w: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instrText xml:space="preserve"> HYPERLINK "javascript:__doPostBack('GvData$ctl08$Link_EquipmentName','')" </w:instrText>
            </w: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t>手持测距仪</w:t>
            </w: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1DD99">
            <w:pPr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t>迈测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8576BD">
            <w:pPr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3</w:t>
            </w:r>
          </w:p>
        </w:tc>
      </w:tr>
      <w:tr w14:paraId="600E7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0D31">
            <w:pPr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572F9">
            <w:pPr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fldChar w:fldCharType="begin"/>
            </w: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instrText xml:space="preserve"> HYPERLINK "javascript:__doPostBack('GvData$ctl10$Link_EquipmentName','')" </w:instrText>
            </w: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t>手持测距仪</w:t>
            </w: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608FA">
            <w:pPr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t>H-D510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25A740">
            <w:pPr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2</w:t>
            </w:r>
          </w:p>
        </w:tc>
      </w:tr>
      <w:tr w14:paraId="7C647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FEFFA">
            <w:pPr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254C5">
            <w:pPr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bidi="ar"/>
              </w:rPr>
              <w:t>手持测距仪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30882">
            <w:pPr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t>SW-60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F03A7F">
            <w:pPr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1</w:t>
            </w:r>
          </w:p>
        </w:tc>
      </w:tr>
    </w:tbl>
    <w:p w14:paraId="27481487">
      <w:pPr>
        <w:jc w:val="center"/>
        <w:rPr>
          <w:rFonts w:hint="default" w:ascii="Times New Roman" w:hAnsi="Times New Roman" w:cs="Times New Roman"/>
          <w:b/>
          <w:color w:val="auto"/>
          <w:sz w:val="44"/>
          <w:szCs w:val="44"/>
        </w:rPr>
      </w:pPr>
    </w:p>
    <w:p w14:paraId="69EECF1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57E5F20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513AA30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57D8E864">
      <w:pPr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0BB9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F569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A3F6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170D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基本情况</w:t>
            </w:r>
          </w:p>
          <w:p w14:paraId="7099E6A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8521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2B94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  <w:t>金额</w:t>
            </w:r>
          </w:p>
          <w:p w14:paraId="28B32D9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DDED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验收时间</w:t>
            </w:r>
          </w:p>
          <w:p w14:paraId="400CA9D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C307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验收机构</w:t>
            </w:r>
          </w:p>
          <w:p w14:paraId="001AC20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402B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9DC9C">
            <w:pPr>
              <w:spacing w:line="240" w:lineRule="auto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C0599">
            <w:pPr>
              <w:spacing w:line="240" w:lineRule="auto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2025年工程零星测量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9097E">
            <w:pPr>
              <w:spacing w:line="240" w:lineRule="auto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长沙市芙蓉区 作业内容：包括但不限于地形地貌、现状标高、管井管线、放点定位、土方测量计算等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369C8">
            <w:pPr>
              <w:spacing w:line="240" w:lineRule="auto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60265">
            <w:pPr>
              <w:spacing w:line="240" w:lineRule="auto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20.0000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BD9F1">
            <w:pPr>
              <w:spacing w:line="240" w:lineRule="auto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2026-08-31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C1355">
            <w:pPr>
              <w:spacing w:line="240" w:lineRule="auto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长沙芙蓉新城置业有限公司</w:t>
            </w:r>
          </w:p>
        </w:tc>
      </w:tr>
      <w:tr w14:paraId="631EB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71717">
            <w:pPr>
              <w:spacing w:line="240" w:lineRule="auto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3B2C9">
            <w:pPr>
              <w:spacing w:line="240" w:lineRule="auto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2025年储备土地边界及土方量测绘项目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74473">
            <w:pPr>
              <w:spacing w:line="240" w:lineRule="auto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长沙市 作业内容：地形(面积)测量、拔地定桩、土方测量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56D5B">
            <w:pPr>
              <w:spacing w:line="240" w:lineRule="auto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23B29">
            <w:pPr>
              <w:spacing w:line="240" w:lineRule="auto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10.0000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BB419">
            <w:pPr>
              <w:spacing w:line="240" w:lineRule="auto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2026-05-30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56469">
            <w:pPr>
              <w:spacing w:line="240" w:lineRule="auto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长沙市土地储备中心</w:t>
            </w:r>
          </w:p>
        </w:tc>
      </w:tr>
      <w:tr w14:paraId="0FE0F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29151">
            <w:pPr>
              <w:spacing w:line="240" w:lineRule="auto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4086B">
            <w:pPr>
              <w:spacing w:line="240" w:lineRule="auto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科技大厦配套设施房屋(职工食堂、老干活动中心、东岗亭、北岗亭)地形图及地籍测绘技术服务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194C9">
            <w:pPr>
              <w:spacing w:line="240" w:lineRule="auto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长沙市岳麓区 作业内容：地形图测量、地籍测绘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62A00">
            <w:pPr>
              <w:spacing w:line="240" w:lineRule="auto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地理信息系统工程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98D5A">
            <w:pPr>
              <w:spacing w:line="240" w:lineRule="auto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4.3135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53425">
            <w:pPr>
              <w:spacing w:line="240" w:lineRule="auto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2026-04-16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A400D">
            <w:pPr>
              <w:spacing w:line="240" w:lineRule="auto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湖南省生产力促进中心</w:t>
            </w:r>
          </w:p>
        </w:tc>
      </w:tr>
    </w:tbl>
    <w:p w14:paraId="58BF97E9">
      <w:pPr>
        <w:rPr>
          <w:rFonts w:hint="default" w:ascii="Times New Roman" w:hAnsi="Times New Roman" w:cs="Times New Roman"/>
          <w:color w:val="auto"/>
        </w:rPr>
      </w:pPr>
    </w:p>
    <w:p w14:paraId="6D9105D7">
      <w:pPr>
        <w:rPr>
          <w:rFonts w:hint="default" w:ascii="Times New Roman" w:hAnsi="Times New Roman" w:cs="Times New Roman"/>
          <w:color w:val="auto"/>
        </w:rPr>
      </w:pPr>
    </w:p>
    <w:p w14:paraId="59B70826">
      <w:pPr>
        <w:rPr>
          <w:rFonts w:hint="default" w:ascii="Times New Roman" w:hAnsi="Times New Roman" w:cs="Times New Roman"/>
          <w:color w:val="auto"/>
        </w:rPr>
      </w:pPr>
    </w:p>
    <w:p w14:paraId="07D5937E">
      <w:pP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6192913C">
      <w:pP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5828CBC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4512F4DC">
      <w:pPr>
        <w:jc w:val="center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3CDFC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BC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5B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214D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134EE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8518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EF0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3C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29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06ED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85D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51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4A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C3FF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D316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62F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B1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21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5DAE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A3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EA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A82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E41A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B0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0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B6D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EC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70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05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9943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971E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E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62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7A9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2CC26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3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2F74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400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AF357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483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6C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D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BDEE4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1B2A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7F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C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B01C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EA75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8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E5CA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B543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9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41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9E8E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BAD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1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AD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F10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21205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4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D0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043B0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AD9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D5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6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B273E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BEF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67B1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19E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8794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CD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E968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3D609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A27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45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8C08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96F4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2E4B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82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2579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E2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D8880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DF854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A764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A93B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D04DD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CDDF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15D2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B1289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A58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A7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FB7D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6F68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729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94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7D9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AF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C2C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36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CE1E5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EAA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D422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CF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A296A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1AC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588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D9E6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AE89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06F2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456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DFB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BC72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DC3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B63D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5B692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45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FA7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896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A4B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FB32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063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75A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F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BDAB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D0233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9729C">
            <w:pPr>
              <w:spacing w:line="500" w:lineRule="exac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9C1F">
            <w:pPr>
              <w:spacing w:line="5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561E213C">
      <w:pPr>
        <w:rPr>
          <w:color w:val="auto"/>
        </w:rPr>
      </w:pPr>
    </w:p>
    <w:bookmarkEnd w:id="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A61288"/>
    <w:rsid w:val="204F598D"/>
    <w:rsid w:val="3D25789C"/>
    <w:rsid w:val="57A61288"/>
    <w:rsid w:val="72FE0A93"/>
    <w:rsid w:val="7333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594</Words>
  <Characters>675</Characters>
  <Lines>0</Lines>
  <Paragraphs>0</Paragraphs>
  <TotalTime>6</TotalTime>
  <ScaleCrop>false</ScaleCrop>
  <LinksUpToDate>false</LinksUpToDate>
  <CharactersWithSpaces>681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2026-09-20T07:41:39Z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