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4FF9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4AED5A2C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53F7699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45FFE8E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 湖南岩土工程勘测设计有限公司 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5D74C1BD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1447A054">
      <w:pPr>
        <w:rPr>
          <w:rFonts w:hint="default" w:ascii="Times New Roman" w:hAnsi="Times New Roman" w:cs="Times New Roman"/>
          <w:color w:val="auto"/>
        </w:rPr>
      </w:pPr>
    </w:p>
    <w:p w14:paraId="1E759823">
      <w:pPr>
        <w:rPr>
          <w:rFonts w:hint="default" w:ascii="Times New Roman" w:hAnsi="Times New Roman" w:cs="Times New Roman"/>
          <w:color w:val="auto"/>
        </w:rPr>
      </w:pPr>
    </w:p>
    <w:p w14:paraId="566C23A6">
      <w:pPr>
        <w:rPr>
          <w:rFonts w:hint="default" w:ascii="Times New Roman" w:hAnsi="Times New Roman" w:cs="Times New Roman"/>
          <w:color w:val="auto"/>
        </w:rPr>
      </w:pPr>
    </w:p>
    <w:p w14:paraId="2ECADE4C">
      <w:pPr>
        <w:rPr>
          <w:rFonts w:hint="default" w:ascii="Times New Roman" w:hAnsi="Times New Roman" w:cs="Times New Roman"/>
          <w:color w:val="auto"/>
        </w:rPr>
      </w:pPr>
    </w:p>
    <w:p w14:paraId="0759A798">
      <w:pPr>
        <w:rPr>
          <w:rFonts w:hint="default" w:ascii="Times New Roman" w:hAnsi="Times New Roman" w:cs="Times New Roman"/>
          <w:color w:val="auto"/>
        </w:rPr>
      </w:pPr>
    </w:p>
    <w:p w14:paraId="144EADEA">
      <w:pPr>
        <w:jc w:val="both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2ABEB0B6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7C2C1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9955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626C94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湖南岩土工程勘测设计有限公司</w:t>
            </w:r>
          </w:p>
        </w:tc>
      </w:tr>
      <w:tr w14:paraId="7771E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0001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574049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国有企业</w:t>
            </w:r>
          </w:p>
        </w:tc>
      </w:tr>
      <w:tr w14:paraId="7F0AC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372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0C5A4">
            <w:pPr>
              <w:jc w:val="center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湖南省长沙市雨花区同升街道振华路579号康庭园一期21栋102</w:t>
            </w:r>
          </w:p>
        </w:tc>
      </w:tr>
      <w:tr w14:paraId="0CC19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6415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14917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谭  琪</w:t>
            </w:r>
          </w:p>
        </w:tc>
      </w:tr>
      <w:tr w14:paraId="355AF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AA70E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84A00">
            <w:pPr>
              <w:jc w:val="center"/>
              <w:rPr>
                <w:rFonts w:hint="default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乙级：工程测量、界线与不动产测绘</w:t>
            </w:r>
          </w:p>
        </w:tc>
      </w:tr>
    </w:tbl>
    <w:p w14:paraId="11C49B87">
      <w:pPr>
        <w:rPr>
          <w:rFonts w:hint="default" w:ascii="Times New Roman" w:hAnsi="Times New Roman" w:cs="Times New Roman"/>
          <w:color w:val="auto"/>
        </w:rPr>
      </w:pPr>
    </w:p>
    <w:p w14:paraId="7EB70BD7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6DA254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DCF474E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DBB74F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4497FDC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3FD65E6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4254CAA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86B2811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2"/>
        <w:tblW w:w="14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3094"/>
        <w:gridCol w:w="2599"/>
        <w:gridCol w:w="2298"/>
        <w:gridCol w:w="5008"/>
      </w:tblGrid>
      <w:tr w14:paraId="49D44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42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9278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级技术人员</w:t>
            </w:r>
          </w:p>
        </w:tc>
      </w:tr>
      <w:tr w14:paraId="481BF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71B8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A158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E656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EBEC7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2D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4C27B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95452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6F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段绪稳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5D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7316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1E7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B7B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2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8B4E1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CE8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0" w:right="-105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王  平</w:t>
            </w:r>
          </w:p>
        </w:tc>
        <w:tc>
          <w:tcPr>
            <w:tcW w:w="2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7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F9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50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01A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2A0E157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B3BB57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15EE8C7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2FDE3B2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8AC441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70F251F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p w14:paraId="6ADDC43F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92BE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BA931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267B7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C2AF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BEC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3D4A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1B1AD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7D06F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B980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38614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D4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姜  喻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B76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64B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BA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right="-105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5AA4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FE8E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9F0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0" w:right="-105" w:right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文  晶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2C2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136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00DB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-105" w:leftChars="0" w:right="-105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0685A25">
      <w:pPr>
        <w:rPr>
          <w:rFonts w:hint="default" w:ascii="Times New Roman" w:hAnsi="Times New Roman" w:cs="Times New Roman"/>
          <w:color w:val="auto"/>
        </w:rPr>
      </w:pPr>
    </w:p>
    <w:p w14:paraId="005B329C">
      <w:pPr>
        <w:rPr>
          <w:rFonts w:hint="default" w:ascii="Times New Roman" w:hAnsi="Times New Roman" w:cs="Times New Roman"/>
          <w:color w:val="auto"/>
        </w:rPr>
      </w:pPr>
    </w:p>
    <w:p w14:paraId="76EDFE09">
      <w:pPr>
        <w:rPr>
          <w:rFonts w:hint="default" w:ascii="Times New Roman" w:hAnsi="Times New Roman" w:cs="Times New Roman"/>
          <w:color w:val="auto"/>
        </w:rPr>
      </w:pPr>
    </w:p>
    <w:p w14:paraId="6378C691">
      <w:pPr>
        <w:rPr>
          <w:rFonts w:hint="default" w:ascii="Times New Roman" w:hAnsi="Times New Roman" w:cs="Times New Roman"/>
          <w:color w:val="auto"/>
        </w:rPr>
      </w:pPr>
    </w:p>
    <w:p w14:paraId="1827FE92">
      <w:pPr>
        <w:rPr>
          <w:rFonts w:hint="default" w:ascii="Times New Roman" w:hAnsi="Times New Roman" w:cs="Times New Roman"/>
          <w:color w:val="auto"/>
        </w:rPr>
      </w:pPr>
    </w:p>
    <w:p w14:paraId="0DBB9EE8">
      <w:pPr>
        <w:rPr>
          <w:rFonts w:hint="default" w:ascii="Times New Roman" w:hAnsi="Times New Roman" w:cs="Times New Roman"/>
          <w:color w:val="auto"/>
        </w:rPr>
      </w:pPr>
    </w:p>
    <w:p w14:paraId="170992C5">
      <w:pPr>
        <w:rPr>
          <w:rFonts w:hint="default" w:ascii="Times New Roman" w:hAnsi="Times New Roman" w:cs="Times New Roman"/>
          <w:color w:val="auto"/>
        </w:rPr>
      </w:pPr>
    </w:p>
    <w:p w14:paraId="1BDC221E">
      <w:pPr>
        <w:rPr>
          <w:rFonts w:hint="default" w:ascii="Times New Roman" w:hAnsi="Times New Roman" w:cs="Times New Roman"/>
          <w:color w:val="auto"/>
        </w:rPr>
      </w:pPr>
    </w:p>
    <w:p w14:paraId="106C2CA5">
      <w:pPr>
        <w:rPr>
          <w:rFonts w:hint="default" w:ascii="Times New Roman" w:hAnsi="Times New Roman" w:cs="Times New Roman"/>
          <w:color w:val="auto"/>
        </w:rPr>
      </w:pPr>
    </w:p>
    <w:p w14:paraId="0BAE5AC3">
      <w:pPr>
        <w:rPr>
          <w:rFonts w:hint="default" w:ascii="Times New Roman" w:hAnsi="Times New Roman" w:cs="Times New Roman"/>
          <w:color w:val="auto"/>
        </w:rPr>
      </w:pPr>
    </w:p>
    <w:p w14:paraId="1D73A137">
      <w:pPr>
        <w:rPr>
          <w:rFonts w:hint="default" w:ascii="Times New Roman" w:hAnsi="Times New Roman" w:cs="Times New Roman"/>
          <w:color w:val="auto"/>
        </w:rPr>
      </w:pPr>
    </w:p>
    <w:p w14:paraId="72D6721B">
      <w:pPr>
        <w:rPr>
          <w:rFonts w:hint="default" w:ascii="Times New Roman" w:hAnsi="Times New Roman" w:cs="Times New Roman"/>
          <w:color w:val="auto"/>
        </w:rPr>
      </w:pPr>
    </w:p>
    <w:p w14:paraId="16A0F68A">
      <w:pPr>
        <w:rPr>
          <w:rFonts w:hint="default" w:ascii="Times New Roman" w:hAnsi="Times New Roman" w:cs="Times New Roman"/>
          <w:color w:val="auto"/>
        </w:rPr>
      </w:pPr>
    </w:p>
    <w:p w14:paraId="0FF09658">
      <w:pPr>
        <w:rPr>
          <w:rFonts w:hint="default" w:ascii="Times New Roman" w:hAnsi="Times New Roman" w:cs="Times New Roman"/>
          <w:color w:val="auto"/>
        </w:rPr>
      </w:pPr>
    </w:p>
    <w:p w14:paraId="5C1192D3">
      <w:pPr>
        <w:rPr>
          <w:rFonts w:hint="default" w:ascii="Times New Roman" w:hAnsi="Times New Roman" w:cs="Times New Roman"/>
          <w:color w:val="auto"/>
        </w:rPr>
      </w:pPr>
    </w:p>
    <w:p w14:paraId="5BF02D7A">
      <w:pPr>
        <w:rPr>
          <w:rFonts w:hint="default" w:ascii="Times New Roman" w:hAnsi="Times New Roman" w:cs="Times New Roman"/>
          <w:color w:val="auto"/>
        </w:rPr>
      </w:pPr>
    </w:p>
    <w:p w14:paraId="101ACFDA">
      <w:pPr>
        <w:rPr>
          <w:rFonts w:hint="default" w:ascii="Times New Roman" w:hAnsi="Times New Roman" w:cs="Times New Roman"/>
          <w:color w:val="auto"/>
        </w:rPr>
      </w:pPr>
    </w:p>
    <w:p w14:paraId="53C95352">
      <w:pPr>
        <w:rPr>
          <w:rFonts w:hint="default" w:ascii="Times New Roman" w:hAnsi="Times New Roman" w:cs="Times New Roman"/>
          <w:color w:val="auto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3227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761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技术人员</w:t>
            </w:r>
          </w:p>
        </w:tc>
      </w:tr>
      <w:tr w14:paraId="1295D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7A48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AB4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C14DE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1178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B8E64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27D2F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D0AE0A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1EF2B7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李秋人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78C87">
            <w:pPr>
              <w:spacing w:line="240" w:lineRule="exact"/>
              <w:ind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BF34D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DAB4F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建筑工程</w:t>
            </w:r>
          </w:p>
        </w:tc>
      </w:tr>
      <w:tr w14:paraId="75E9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804F2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3E14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张心怡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B269D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4869B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D51F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auto"/>
                <w:sz w:val="24"/>
                <w:szCs w:val="24"/>
              </w:rPr>
              <w:t>建筑工程</w:t>
            </w:r>
          </w:p>
        </w:tc>
      </w:tr>
    </w:tbl>
    <w:p w14:paraId="3AED5E3D">
      <w:pPr>
        <w:rPr>
          <w:rFonts w:hint="default" w:ascii="Times New Roman" w:hAnsi="Times New Roman" w:cs="Times New Roman"/>
          <w:color w:val="auto"/>
        </w:rPr>
      </w:pPr>
    </w:p>
    <w:p w14:paraId="484219C1">
      <w:pPr>
        <w:rPr>
          <w:rFonts w:hint="default" w:ascii="Times New Roman" w:hAnsi="Times New Roman" w:cs="Times New Roman"/>
          <w:color w:val="auto"/>
        </w:rPr>
      </w:pPr>
    </w:p>
    <w:p w14:paraId="23E998F6">
      <w:pPr>
        <w:rPr>
          <w:rFonts w:hint="default" w:ascii="Times New Roman" w:hAnsi="Times New Roman" w:cs="Times New Roman"/>
          <w:color w:val="auto"/>
        </w:rPr>
      </w:pPr>
    </w:p>
    <w:p w14:paraId="2D7BE283">
      <w:pPr>
        <w:rPr>
          <w:rFonts w:hint="default" w:ascii="Times New Roman" w:hAnsi="Times New Roman" w:cs="Times New Roman"/>
          <w:color w:val="auto"/>
        </w:rPr>
      </w:pPr>
    </w:p>
    <w:p w14:paraId="6711FC90">
      <w:pPr>
        <w:rPr>
          <w:rFonts w:hint="default" w:ascii="Times New Roman" w:hAnsi="Times New Roman" w:cs="Times New Roman"/>
          <w:color w:val="auto"/>
        </w:rPr>
      </w:pPr>
    </w:p>
    <w:p w14:paraId="016B284F">
      <w:pPr>
        <w:rPr>
          <w:rFonts w:hint="default" w:ascii="Times New Roman" w:hAnsi="Times New Roman" w:cs="Times New Roman"/>
          <w:color w:val="auto"/>
        </w:rPr>
      </w:pPr>
    </w:p>
    <w:p w14:paraId="7468B653">
      <w:pPr>
        <w:rPr>
          <w:rFonts w:hint="default" w:ascii="Times New Roman" w:hAnsi="Times New Roman" w:cs="Times New Roman"/>
          <w:color w:val="auto"/>
        </w:rPr>
      </w:pPr>
    </w:p>
    <w:p w14:paraId="7D8A8C3E">
      <w:pPr>
        <w:rPr>
          <w:rFonts w:hint="default" w:ascii="Times New Roman" w:hAnsi="Times New Roman" w:cs="Times New Roman"/>
          <w:color w:val="auto"/>
        </w:rPr>
      </w:pPr>
    </w:p>
    <w:p w14:paraId="3DA506FF">
      <w:pPr>
        <w:rPr>
          <w:rFonts w:hint="default" w:ascii="Times New Roman" w:hAnsi="Times New Roman" w:cs="Times New Roman"/>
          <w:color w:val="auto"/>
        </w:rPr>
      </w:pPr>
    </w:p>
    <w:p w14:paraId="438152C1">
      <w:pPr>
        <w:rPr>
          <w:rFonts w:hint="default" w:ascii="Times New Roman" w:hAnsi="Times New Roman" w:cs="Times New Roman"/>
          <w:color w:val="auto"/>
        </w:rPr>
      </w:pPr>
    </w:p>
    <w:p w14:paraId="50A0D980">
      <w:pPr>
        <w:rPr>
          <w:rFonts w:hint="default" w:ascii="Times New Roman" w:hAnsi="Times New Roman" w:cs="Times New Roman"/>
          <w:color w:val="auto"/>
        </w:rPr>
      </w:pPr>
    </w:p>
    <w:p w14:paraId="0F8C814D">
      <w:pPr>
        <w:rPr>
          <w:rFonts w:hint="default" w:ascii="Times New Roman" w:hAnsi="Times New Roman" w:cs="Times New Roman"/>
          <w:color w:val="auto"/>
        </w:rPr>
      </w:pPr>
    </w:p>
    <w:p w14:paraId="4CB70908">
      <w:pPr>
        <w:rPr>
          <w:rFonts w:hint="default" w:ascii="Times New Roman" w:hAnsi="Times New Roman" w:cs="Times New Roman"/>
          <w:color w:val="auto"/>
        </w:rPr>
      </w:pPr>
    </w:p>
    <w:p w14:paraId="5E56F3BD">
      <w:pPr>
        <w:rPr>
          <w:rFonts w:hint="default" w:ascii="Times New Roman" w:hAnsi="Times New Roman" w:cs="Times New Roman"/>
          <w:color w:val="auto"/>
        </w:rPr>
      </w:pPr>
    </w:p>
    <w:p w14:paraId="1DFC3BB2">
      <w:pPr>
        <w:rPr>
          <w:rFonts w:hint="default" w:ascii="Times New Roman" w:hAnsi="Times New Roman" w:cs="Times New Roman"/>
          <w:color w:val="auto"/>
        </w:rPr>
      </w:pPr>
    </w:p>
    <w:p w14:paraId="12534A66">
      <w:pPr>
        <w:rPr>
          <w:rFonts w:hint="default" w:ascii="Times New Roman" w:hAnsi="Times New Roman" w:cs="Times New Roman"/>
          <w:color w:val="auto"/>
        </w:rPr>
      </w:pPr>
    </w:p>
    <w:p w14:paraId="3F13B96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105E9A18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E90F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0A8D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CE51F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3648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0D29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58719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1D117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1113C4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ED69F9A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瑞德RTS-861R10A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83EE06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6765B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82970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6A5EB08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全站仪（不低于2秒级精度）</w: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1D2D62F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NTS362R10U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E6B4B31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42C1D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C5780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FBAB3EF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"javascript:__doPostBack('GvData$ctl06$Link_EquipmentName','')" </w:instrTex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水准仪（不低于S1级精度）</w: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6CE065D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ab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天宝DINI03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462089C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03250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49275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4BC2E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B0DB7E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华测M9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54245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  <w:tr w14:paraId="08F1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8C447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AFE4D6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fldChar w:fldCharType="separate"/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t>GNSS接收机（不低于5mm+1ppm精度）</w:t>
            </w:r>
            <w:r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13CA3">
            <w:pPr>
              <w:contextualSpacing/>
              <w:jc w:val="center"/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ab/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中海达A30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551A24">
            <w:pPr>
              <w:contextualSpacing/>
              <w:jc w:val="center"/>
              <w:rPr>
                <w:rFonts w:hint="default" w:ascii="宋体" w:hAnsi="宋体" w:cs="宋体"/>
                <w:color w:val="auto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 w:bidi="ar"/>
              </w:rPr>
              <w:t>1</w:t>
            </w:r>
          </w:p>
        </w:tc>
      </w:tr>
    </w:tbl>
    <w:p w14:paraId="7F309AC0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1DEE4905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6323B454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0A839EF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23E98FCB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1517AEC1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4A8A4C3E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601"/>
        <w:gridCol w:w="1688"/>
        <w:gridCol w:w="1906"/>
        <w:gridCol w:w="1906"/>
        <w:gridCol w:w="1907"/>
      </w:tblGrid>
      <w:tr w14:paraId="65236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2CA32C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5069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BBBF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基本情况</w:t>
            </w:r>
          </w:p>
          <w:p w14:paraId="60D8634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C222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AD035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金额</w:t>
            </w:r>
          </w:p>
          <w:p w14:paraId="6F5FC236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0E17E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验收时间</w:t>
            </w:r>
          </w:p>
          <w:p w14:paraId="43EA3BC7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52338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验收机构</w:t>
            </w:r>
          </w:p>
          <w:p w14:paraId="229B565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13B96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F5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9C9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南岳第一峰廻雁峰4A景区项目规划设计测绘</w:t>
            </w:r>
          </w:p>
        </w:tc>
        <w:tc>
          <w:tcPr>
            <w:tcW w:w="3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08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南岳第一峰廻雁峰景区范围内40万平方米的三维模型(航飞、像控点、建模)、地形图测绘(图根控制点、地形图)及重点建筑物测绘(外立面、内部平面图)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71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8D3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17.2800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45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2024-06-17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B3E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衡阳市雁峰区城市建设投资有限公司</w:t>
            </w:r>
          </w:p>
        </w:tc>
      </w:tr>
      <w:tr w14:paraId="5AAB6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DAE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90B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梅溪湖国际新城区域能源站项目室外供能管网工程地形及管线测量</w:t>
            </w:r>
          </w:p>
        </w:tc>
        <w:tc>
          <w:tcPr>
            <w:tcW w:w="3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3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项目涉及的约9万平方米范围内的1：500地形测绘及16KM地下管线探测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61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35B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4.1740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7B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2024-07-27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074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湖南新茂智慧能源有限公司</w:t>
            </w:r>
          </w:p>
        </w:tc>
      </w:tr>
      <w:tr w14:paraId="64FDE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658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54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雁峰区雁峰街道雨花亭社区片老旧小区测绘项目</w:t>
            </w:r>
          </w:p>
        </w:tc>
        <w:tc>
          <w:tcPr>
            <w:tcW w:w="3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376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项目涉及的约9万平方米范围内的1：500地形测绘、地下管线探测及52栋建筑物外立面测绘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4F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D3D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20.6600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F1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2022-09-19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CE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衡阳市雁峰区城市建设投资有限公司</w:t>
            </w:r>
          </w:p>
        </w:tc>
      </w:tr>
      <w:tr w14:paraId="11CD8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9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664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554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揽江一品项目(142地块)基坑监测</w:t>
            </w:r>
          </w:p>
        </w:tc>
        <w:tc>
          <w:tcPr>
            <w:tcW w:w="36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1C1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支护结构顶水平位移监测11个点、支护结构顶竖向位移监测11个点、地下水位观测3个点、深层水平位移观测4孔、地表沉降观测20个点；总计观测101次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BD9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工程测量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3B1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8.7100</w:t>
            </w:r>
          </w:p>
        </w:tc>
        <w:tc>
          <w:tcPr>
            <w:tcW w:w="1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2E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2025-01-20</w:t>
            </w:r>
          </w:p>
        </w:tc>
        <w:tc>
          <w:tcPr>
            <w:tcW w:w="19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723D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长沙市揽江置业有限公司</w:t>
            </w:r>
          </w:p>
        </w:tc>
      </w:tr>
    </w:tbl>
    <w:p w14:paraId="5A20C61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</w:p>
    <w:p w14:paraId="0FB7C4F2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0894F4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108E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A8A42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6F8945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6492BAF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BD2066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4B52F56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DF59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B323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A152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75D97F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21AA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25C89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7511A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81B82E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DC0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948A0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C2EE6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A656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52A3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EBD12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77C4B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9E64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64D353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A3AD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3B42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EE02A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EC2C0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D729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1E5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54B1A5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687B5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461EE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6B35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5E92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86679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B8CB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C764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457066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389A0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9013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A3F8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752D3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5E7F0F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A358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70B5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B69923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58350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6838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DDCC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0A4FC8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AFB6E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2CE53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DFD6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26C459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5580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28C9D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717F1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D8CF84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8DDD1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F111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7B9434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2F841DF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F61BE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983C5E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7B29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7B4FB7E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087D318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47C55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E50B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34DB24B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B89D4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6B7BD03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F9E579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B0326AB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33E0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08522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4E96B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7DBC9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91E6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8C40D2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58F2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CADD3C4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3CECC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6AAA8A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958957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0848248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188F55E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1B0B22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A5F0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64CF68A3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44DC92C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4F8EA8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ED1EA4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B275B6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82AD2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85F6B0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471D2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FB21C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8743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04EAFD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5D048D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3143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599EF4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78C1F0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5487A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293D008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43097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72BB53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BF5C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03DD46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3A274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71366F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3AE773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3954BA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333545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9BA8F27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5F02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C32B86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B32D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8CE3E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ED41C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74B8D2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EFFD4B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58B96B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719838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B31890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089AE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1F282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92418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C4021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8E208F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28770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90BF2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5006D26">
      <w:pPr>
        <w:rPr>
          <w:color w:val="auto"/>
        </w:rPr>
      </w:pPr>
    </w:p>
    <w:bookmarkEnd w:id="0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BlZjljMDc5M2EwZGI1ODk3YWU2Y2Y0OGQ5ZTMzMmIifQ=="/>
  </w:docVars>
  <w:rsids>
    <w:rsidRoot w:val="57A61288"/>
    <w:rsid w:val="013F49FB"/>
    <w:rsid w:val="02331ABF"/>
    <w:rsid w:val="08C43471"/>
    <w:rsid w:val="14C13342"/>
    <w:rsid w:val="263B6AAB"/>
    <w:rsid w:val="2AD13B70"/>
    <w:rsid w:val="2ED14F3E"/>
    <w:rsid w:val="56C66134"/>
    <w:rsid w:val="57A61288"/>
    <w:rsid w:val="5AA93841"/>
    <w:rsid w:val="72FE0A93"/>
    <w:rsid w:val="7BCF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2238</Words>
  <Characters>2401</Characters>
  <Lines>0</Lines>
  <Paragraphs>0</Paragraphs>
  <TotalTime>5</TotalTime>
  <ScaleCrop>false</ScaleCrop>
  <LinksUpToDate>false</LinksUpToDate>
  <CharactersWithSpaces>2417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2026-09-20T07:37:58Z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