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  <w:bookmarkStart w:id="0" w:name="_GoBack"/>
    </w:p>
    <w:p w14:paraId="5B79E530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0976ADFE"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  岳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bidi="ar"/>
        </w:rPr>
        <w:t>阳锦程土地测绘有限公司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  <w:t>证书延续申请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  <w:color w:val="auto"/>
        </w:rPr>
      </w:pPr>
    </w:p>
    <w:p w14:paraId="1E3FF6CF">
      <w:pPr>
        <w:rPr>
          <w:rFonts w:hint="default" w:ascii="Times New Roman" w:hAnsi="Times New Roman" w:cs="Times New Roman"/>
          <w:color w:val="auto"/>
        </w:rPr>
      </w:pPr>
    </w:p>
    <w:p w14:paraId="0B1A75B6">
      <w:pPr>
        <w:rPr>
          <w:rFonts w:hint="default" w:ascii="Times New Roman" w:hAnsi="Times New Roman" w:cs="Times New Roman"/>
          <w:color w:val="auto"/>
        </w:rPr>
      </w:pPr>
    </w:p>
    <w:p w14:paraId="1B1CFDBA">
      <w:pPr>
        <w:rPr>
          <w:rFonts w:hint="default" w:ascii="Times New Roman" w:hAnsi="Times New Roman" w:cs="Times New Roman"/>
          <w:color w:val="auto"/>
        </w:rPr>
      </w:pPr>
    </w:p>
    <w:p w14:paraId="4FD1A593">
      <w:pPr>
        <w:rPr>
          <w:rFonts w:hint="default" w:ascii="Times New Roman" w:hAnsi="Times New Roman" w:cs="Times New Roman"/>
          <w:color w:val="auto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color w:val="auto"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岳阳锦程土地测绘有限公司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湖南省岳阳市云溪区云溪街道岳阳森凯仓储物流有限公司科研楼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李友君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乙级：工程测量、界线与不动产测绘</w:t>
            </w:r>
          </w:p>
        </w:tc>
      </w:tr>
    </w:tbl>
    <w:p w14:paraId="77B130BB">
      <w:pPr>
        <w:rPr>
          <w:rFonts w:hint="default" w:ascii="Times New Roman" w:hAnsi="Times New Roman" w:cs="Times New Roman"/>
          <w:color w:val="auto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1902D38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22B6A3D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311F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8DF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级技术人员</w:t>
            </w:r>
          </w:p>
        </w:tc>
      </w:tr>
      <w:tr w14:paraId="472DE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DC3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DE12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F8EC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EE9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1E0F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750ED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465B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DD08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桂玉梅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AFB3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E564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8EF43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431FCE41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3476EAEB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3F36F119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36937C0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79EBCB5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6727532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349624C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7CA37C1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337BBD2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李友君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0D204A21">
      <w:pPr>
        <w:rPr>
          <w:rFonts w:hint="default" w:ascii="Times New Roman" w:hAnsi="Times New Roman" w:cs="Times New Roman"/>
          <w:color w:val="auto"/>
        </w:rPr>
      </w:pPr>
    </w:p>
    <w:p w14:paraId="189FCFFF">
      <w:pPr>
        <w:rPr>
          <w:rFonts w:hint="default" w:ascii="Times New Roman" w:hAnsi="Times New Roman" w:cs="Times New Roman"/>
          <w:color w:val="auto"/>
        </w:rPr>
      </w:pPr>
    </w:p>
    <w:p w14:paraId="5918F790">
      <w:pPr>
        <w:rPr>
          <w:rFonts w:hint="default" w:ascii="Times New Roman" w:hAnsi="Times New Roman" w:cs="Times New Roman"/>
          <w:color w:val="auto"/>
        </w:rPr>
      </w:pPr>
    </w:p>
    <w:p w14:paraId="5089AAFD">
      <w:pPr>
        <w:rPr>
          <w:rFonts w:hint="default" w:ascii="Times New Roman" w:hAnsi="Times New Roman" w:cs="Times New Roman"/>
          <w:color w:val="auto"/>
        </w:rPr>
      </w:pPr>
    </w:p>
    <w:p w14:paraId="6760518D">
      <w:pPr>
        <w:rPr>
          <w:rFonts w:hint="default" w:ascii="Times New Roman" w:hAnsi="Times New Roman" w:cs="Times New Roman"/>
          <w:color w:val="auto"/>
        </w:rPr>
      </w:pPr>
    </w:p>
    <w:p w14:paraId="429210F3">
      <w:pPr>
        <w:rPr>
          <w:rFonts w:hint="default" w:ascii="Times New Roman" w:hAnsi="Times New Roman" w:cs="Times New Roman"/>
          <w:color w:val="auto"/>
        </w:rPr>
      </w:pPr>
    </w:p>
    <w:p w14:paraId="38EBAB02">
      <w:pPr>
        <w:rPr>
          <w:rFonts w:hint="default" w:ascii="Times New Roman" w:hAnsi="Times New Roman" w:cs="Times New Roman"/>
          <w:color w:val="auto"/>
        </w:rPr>
      </w:pPr>
    </w:p>
    <w:p w14:paraId="44373AD0">
      <w:pPr>
        <w:rPr>
          <w:rFonts w:hint="default" w:ascii="Times New Roman" w:hAnsi="Times New Roman" w:cs="Times New Roman"/>
          <w:color w:val="auto"/>
        </w:rPr>
      </w:pPr>
    </w:p>
    <w:p w14:paraId="143576F1">
      <w:pPr>
        <w:rPr>
          <w:rFonts w:hint="default" w:ascii="Times New Roman" w:hAnsi="Times New Roman" w:cs="Times New Roman"/>
          <w:color w:val="auto"/>
        </w:rPr>
      </w:pPr>
    </w:p>
    <w:p w14:paraId="3C950232">
      <w:pPr>
        <w:rPr>
          <w:rFonts w:hint="default" w:ascii="Times New Roman" w:hAnsi="Times New Roman" w:cs="Times New Roman"/>
          <w:color w:val="auto"/>
        </w:rPr>
      </w:pPr>
    </w:p>
    <w:p w14:paraId="1DDF90A6">
      <w:pPr>
        <w:rPr>
          <w:rFonts w:hint="default" w:ascii="Times New Roman" w:hAnsi="Times New Roman" w:cs="Times New Roman"/>
          <w:color w:val="auto"/>
        </w:rPr>
      </w:pPr>
    </w:p>
    <w:p w14:paraId="0E08F5DA">
      <w:pPr>
        <w:rPr>
          <w:rFonts w:hint="default" w:ascii="Times New Roman" w:hAnsi="Times New Roman" w:cs="Times New Roman"/>
          <w:color w:val="auto"/>
        </w:rPr>
      </w:pPr>
    </w:p>
    <w:p w14:paraId="19CD3A18">
      <w:pPr>
        <w:rPr>
          <w:rFonts w:hint="default" w:ascii="Times New Roman" w:hAnsi="Times New Roman" w:cs="Times New Roman"/>
          <w:color w:val="auto"/>
        </w:rPr>
      </w:pPr>
    </w:p>
    <w:p w14:paraId="366AC1EA">
      <w:pPr>
        <w:rPr>
          <w:rFonts w:hint="default" w:ascii="Times New Roman" w:hAnsi="Times New Roman" w:cs="Times New Roman"/>
          <w:color w:val="auto"/>
        </w:rPr>
      </w:pPr>
    </w:p>
    <w:p w14:paraId="370688D2">
      <w:pPr>
        <w:rPr>
          <w:rFonts w:hint="default" w:ascii="Times New Roman" w:hAnsi="Times New Roman" w:cs="Times New Roman"/>
          <w:color w:val="auto"/>
        </w:rPr>
      </w:pPr>
    </w:p>
    <w:p w14:paraId="56BAB18A">
      <w:pPr>
        <w:rPr>
          <w:rFonts w:hint="default" w:ascii="Times New Roman" w:hAnsi="Times New Roman" w:cs="Times New Roman"/>
          <w:color w:val="auto"/>
        </w:rPr>
      </w:pPr>
    </w:p>
    <w:p w14:paraId="077157E2">
      <w:pPr>
        <w:rPr>
          <w:rFonts w:hint="default" w:ascii="Times New Roman" w:hAnsi="Times New Roman" w:cs="Times New Roman"/>
          <w:color w:val="auto"/>
        </w:rPr>
      </w:pPr>
    </w:p>
    <w:p w14:paraId="73E8ED34">
      <w:pPr>
        <w:rPr>
          <w:rFonts w:hint="default" w:ascii="Times New Roman" w:hAnsi="Times New Roman" w:cs="Times New Roman"/>
          <w:color w:val="auto"/>
        </w:rPr>
      </w:pPr>
    </w:p>
    <w:p w14:paraId="2648CC7D">
      <w:pPr>
        <w:rPr>
          <w:rFonts w:hint="default" w:ascii="Times New Roman" w:hAnsi="Times New Roman" w:cs="Times New Roman"/>
          <w:color w:val="auto"/>
        </w:rPr>
      </w:pPr>
    </w:p>
    <w:p w14:paraId="08EB95BA">
      <w:pPr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6E5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8D1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3DC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杨诗露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24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D8B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9FFB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4F59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28A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1D14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曾  凯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4BC8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AF16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569A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15982AB0">
      <w:pPr>
        <w:rPr>
          <w:rFonts w:hint="default" w:ascii="Times New Roman" w:hAnsi="Times New Roman" w:cs="Times New Roman"/>
          <w:color w:val="auto"/>
        </w:rPr>
      </w:pPr>
    </w:p>
    <w:p w14:paraId="642840FA">
      <w:pPr>
        <w:rPr>
          <w:rFonts w:hint="default" w:ascii="Times New Roman" w:hAnsi="Times New Roman" w:cs="Times New Roman"/>
          <w:color w:val="auto"/>
        </w:rPr>
      </w:pPr>
    </w:p>
    <w:p w14:paraId="2114F251">
      <w:pPr>
        <w:rPr>
          <w:rFonts w:hint="default" w:ascii="Times New Roman" w:hAnsi="Times New Roman" w:cs="Times New Roman"/>
          <w:color w:val="auto"/>
        </w:rPr>
      </w:pPr>
    </w:p>
    <w:p w14:paraId="2349AB0C">
      <w:pPr>
        <w:rPr>
          <w:rFonts w:hint="default" w:ascii="Times New Roman" w:hAnsi="Times New Roman" w:cs="Times New Roman"/>
          <w:color w:val="auto"/>
        </w:rPr>
      </w:pPr>
    </w:p>
    <w:p w14:paraId="020BDE26">
      <w:pPr>
        <w:rPr>
          <w:rFonts w:hint="default" w:ascii="Times New Roman" w:hAnsi="Times New Roman" w:cs="Times New Roman"/>
          <w:color w:val="auto"/>
        </w:rPr>
      </w:pPr>
    </w:p>
    <w:p w14:paraId="4188432F">
      <w:pPr>
        <w:rPr>
          <w:rFonts w:hint="default" w:ascii="Times New Roman" w:hAnsi="Times New Roman" w:cs="Times New Roman"/>
          <w:color w:val="auto"/>
        </w:rPr>
      </w:pPr>
    </w:p>
    <w:p w14:paraId="72086BD4">
      <w:pPr>
        <w:rPr>
          <w:rFonts w:hint="default" w:ascii="Times New Roman" w:hAnsi="Times New Roman" w:cs="Times New Roman"/>
          <w:color w:val="auto"/>
        </w:rPr>
      </w:pPr>
    </w:p>
    <w:p w14:paraId="3868328E">
      <w:pPr>
        <w:rPr>
          <w:rFonts w:hint="default" w:ascii="Times New Roman" w:hAnsi="Times New Roman" w:cs="Times New Roman"/>
          <w:color w:val="auto"/>
        </w:rPr>
      </w:pPr>
    </w:p>
    <w:p w14:paraId="24711FCD">
      <w:pPr>
        <w:rPr>
          <w:rFonts w:hint="default" w:ascii="Times New Roman" w:hAnsi="Times New Roman" w:cs="Times New Roman"/>
          <w:color w:val="auto"/>
        </w:rPr>
      </w:pPr>
    </w:p>
    <w:p w14:paraId="7BCD49EA">
      <w:pPr>
        <w:rPr>
          <w:rFonts w:hint="default" w:ascii="Times New Roman" w:hAnsi="Times New Roman" w:cs="Times New Roman"/>
          <w:color w:val="auto"/>
        </w:rPr>
      </w:pPr>
    </w:p>
    <w:p w14:paraId="60C14C09">
      <w:pPr>
        <w:rPr>
          <w:rFonts w:hint="default" w:ascii="Times New Roman" w:hAnsi="Times New Roman" w:cs="Times New Roman"/>
          <w:color w:val="auto"/>
        </w:rPr>
      </w:pPr>
    </w:p>
    <w:p w14:paraId="4E62E510">
      <w:pPr>
        <w:rPr>
          <w:rFonts w:hint="default" w:ascii="Times New Roman" w:hAnsi="Times New Roman" w:cs="Times New Roman"/>
          <w:color w:val="auto"/>
        </w:rPr>
      </w:pPr>
    </w:p>
    <w:p w14:paraId="5060FCB4">
      <w:pPr>
        <w:rPr>
          <w:rFonts w:hint="default" w:ascii="Times New Roman" w:hAnsi="Times New Roman" w:cs="Times New Roman"/>
          <w:color w:val="auto"/>
        </w:rPr>
      </w:pPr>
    </w:p>
    <w:p w14:paraId="25C95095">
      <w:pPr>
        <w:rPr>
          <w:rFonts w:hint="default" w:ascii="Times New Roman" w:hAnsi="Times New Roman" w:cs="Times New Roman"/>
          <w:color w:val="auto"/>
        </w:rPr>
      </w:pPr>
    </w:p>
    <w:p w14:paraId="3C85DD5E">
      <w:pPr>
        <w:rPr>
          <w:rFonts w:hint="default" w:ascii="Times New Roman" w:hAnsi="Times New Roman" w:cs="Times New Roman"/>
          <w:color w:val="auto"/>
        </w:rPr>
      </w:pPr>
    </w:p>
    <w:p w14:paraId="70B4D57E">
      <w:pPr>
        <w:rPr>
          <w:rFonts w:hint="default" w:ascii="Times New Roman" w:hAnsi="Times New Roman" w:cs="Times New Roman"/>
          <w:color w:val="auto"/>
        </w:rPr>
      </w:pPr>
    </w:p>
    <w:p w14:paraId="6BBE2AF7">
      <w:pPr>
        <w:rPr>
          <w:rFonts w:hint="default" w:ascii="Times New Roman" w:hAnsi="Times New Roman" w:cs="Times New Roman"/>
          <w:color w:val="auto"/>
        </w:rPr>
      </w:pPr>
    </w:p>
    <w:p w14:paraId="593339C5">
      <w:pPr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卢  琼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物流服务管理</w:t>
            </w:r>
          </w:p>
        </w:tc>
      </w:tr>
      <w:tr w14:paraId="196E3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13CD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7AE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邱芊芊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7A8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FE9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2FB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土地资源管理</w:t>
            </w:r>
          </w:p>
        </w:tc>
      </w:tr>
      <w:tr w14:paraId="74644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1C67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65E2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丁汪洋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A055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A403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9DC4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确权登记</w:t>
            </w:r>
          </w:p>
        </w:tc>
      </w:tr>
    </w:tbl>
    <w:p w14:paraId="5830B7F4">
      <w:pPr>
        <w:rPr>
          <w:rFonts w:hint="default" w:ascii="Times New Roman" w:hAnsi="Times New Roman" w:cs="Times New Roman"/>
          <w:color w:val="auto"/>
        </w:rPr>
      </w:pPr>
    </w:p>
    <w:p w14:paraId="4B53D51A">
      <w:pPr>
        <w:rPr>
          <w:rFonts w:hint="default" w:ascii="Times New Roman" w:hAnsi="Times New Roman" w:cs="Times New Roman"/>
          <w:color w:val="auto"/>
        </w:rPr>
      </w:pPr>
    </w:p>
    <w:p w14:paraId="0DAFBD53">
      <w:pPr>
        <w:rPr>
          <w:rFonts w:hint="default" w:ascii="Times New Roman" w:hAnsi="Times New Roman" w:cs="Times New Roman"/>
          <w:color w:val="auto"/>
        </w:rPr>
      </w:pPr>
    </w:p>
    <w:p w14:paraId="2609EEDF">
      <w:pPr>
        <w:rPr>
          <w:rFonts w:hint="default" w:ascii="Times New Roman" w:hAnsi="Times New Roman" w:cs="Times New Roman"/>
          <w:color w:val="auto"/>
        </w:rPr>
      </w:pPr>
    </w:p>
    <w:p w14:paraId="68C5DE53">
      <w:pPr>
        <w:rPr>
          <w:rFonts w:hint="default" w:ascii="Times New Roman" w:hAnsi="Times New Roman" w:cs="Times New Roman"/>
          <w:color w:val="auto"/>
        </w:rPr>
      </w:pPr>
    </w:p>
    <w:p w14:paraId="1746AE94">
      <w:pPr>
        <w:rPr>
          <w:rFonts w:hint="default" w:ascii="Times New Roman" w:hAnsi="Times New Roman" w:cs="Times New Roman"/>
          <w:color w:val="auto"/>
        </w:rPr>
      </w:pPr>
    </w:p>
    <w:p w14:paraId="0A00E63E">
      <w:pPr>
        <w:rPr>
          <w:rFonts w:hint="default" w:ascii="Times New Roman" w:hAnsi="Times New Roman" w:cs="Times New Roman"/>
          <w:color w:val="auto"/>
        </w:rPr>
      </w:pPr>
    </w:p>
    <w:p w14:paraId="25D50C70">
      <w:pPr>
        <w:rPr>
          <w:rFonts w:hint="default" w:ascii="Times New Roman" w:hAnsi="Times New Roman" w:cs="Times New Roman"/>
          <w:color w:val="auto"/>
        </w:rPr>
      </w:pPr>
    </w:p>
    <w:p w14:paraId="60843E1B">
      <w:pPr>
        <w:rPr>
          <w:rFonts w:hint="default" w:ascii="Times New Roman" w:hAnsi="Times New Roman" w:cs="Times New Roman"/>
          <w:color w:val="auto"/>
        </w:rPr>
      </w:pPr>
    </w:p>
    <w:p w14:paraId="6C7689C4">
      <w:pPr>
        <w:rPr>
          <w:rFonts w:hint="default" w:ascii="Times New Roman" w:hAnsi="Times New Roman" w:cs="Times New Roman"/>
          <w:color w:val="auto"/>
        </w:rPr>
      </w:pPr>
    </w:p>
    <w:p w14:paraId="6193FDA2">
      <w:pPr>
        <w:rPr>
          <w:rFonts w:hint="default" w:ascii="Times New Roman" w:hAnsi="Times New Roman" w:cs="Times New Roman"/>
          <w:color w:val="auto"/>
        </w:rPr>
      </w:pPr>
    </w:p>
    <w:p w14:paraId="6BF811B6">
      <w:pPr>
        <w:rPr>
          <w:rFonts w:hint="default" w:ascii="Times New Roman" w:hAnsi="Times New Roman" w:cs="Times New Roman"/>
          <w:color w:val="auto"/>
        </w:rPr>
      </w:pPr>
    </w:p>
    <w:p w14:paraId="5F77A053">
      <w:pPr>
        <w:rPr>
          <w:rFonts w:hint="default" w:ascii="Times New Roman" w:hAnsi="Times New Roman" w:cs="Times New Roman"/>
          <w:color w:val="auto"/>
        </w:rPr>
      </w:pPr>
    </w:p>
    <w:p w14:paraId="11386BB7">
      <w:pPr>
        <w:rPr>
          <w:rFonts w:hint="default" w:ascii="Times New Roman" w:hAnsi="Times New Roman" w:cs="Times New Roman"/>
          <w:color w:val="auto"/>
        </w:rPr>
      </w:pPr>
    </w:p>
    <w:p w14:paraId="4C62867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A541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千寻位置星耀SE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华星A10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华星A12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1CB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28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"javascript:__doPostBack('GvData$ctl05$Link_EquipmentName','')"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D00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华星HTS-221R4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E6A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704F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CC87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7717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"javascript:__doPostBack('GvData$ctl06$Link_EquipmentName','')"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地下管线探测仪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DD9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PQWT-CX800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576B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600E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0D3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572F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"javascript:__doPostBack('GvData$ctl07$Link_EquipmentName','')"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手持测距仪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608F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PD-64R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5A74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3A4B1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CC1B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8803B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"javascript:__doPostBack('GvData$ctl07$Link_EquipmentName','')"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手持测距仪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E3C4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pd-64R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04C8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</w:tbl>
    <w:p w14:paraId="02BD8A9B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69EECF1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57E5F20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7918E7C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57D8E864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岳阳市青山油剂有限公司测绘办理不动产证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测绘办理不动产证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3.8000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2026-07-16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岳阳市青山油剂有限公司</w:t>
            </w: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171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B2C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湖南石化二区树脂部等区域地形测绘合同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47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1、工程名称:湖南石化二区树脂部等区域地形测绘 2、测绘地点:对湖南石化二区及周边约 9.9Km'地形进行测绘。 3、技术要求:本次1∶500地形图测绘采用 2000国家大地坐标系，高程采用 1985 国家高程基准。地形图平面位置和高程，其精度应满足 2020《工程测量标准》要求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6D5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23B2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78.7000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B41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2025-11-18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6469"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中石化湖南石油化工有限公司</w:t>
            </w:r>
          </w:p>
        </w:tc>
      </w:tr>
      <w:tr w14:paraId="0FE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2915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086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岳阳市云溪区人民检察院(土地)权属统一登记测绘测量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94C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第一条 工程名称及测绘范围、内容 岳阳市云溪区人民检察院(土地)权属统一登记测绘测量 第二条 测绘地点 岳阳市云溪区 第三条 乙方工作内容 权属统一登记测绘测量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62A0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98D5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3.4625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5342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2025-07-30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A400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岳阳市云溪区人民检察院</w:t>
            </w:r>
          </w:p>
        </w:tc>
      </w:tr>
    </w:tbl>
    <w:p w14:paraId="232E0342">
      <w:pPr>
        <w:rPr>
          <w:rFonts w:hint="default" w:ascii="Times New Roman" w:hAnsi="Times New Roman" w:cs="Times New Roman"/>
          <w:color w:val="auto"/>
        </w:rPr>
      </w:pPr>
    </w:p>
    <w:p w14:paraId="0571CC1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4512F4DC">
      <w:pPr>
        <w:jc w:val="center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7806F1AE">
      <w:pPr>
        <w:rPr>
          <w:color w:val="auto"/>
        </w:rPr>
      </w:pPr>
    </w:p>
    <w:bookmarkEnd w:id="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3E255222"/>
    <w:rsid w:val="3EF0248B"/>
    <w:rsid w:val="57A61288"/>
    <w:rsid w:val="652A00E1"/>
    <w:rsid w:val="72FE0A93"/>
    <w:rsid w:val="741A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2231</Words>
  <Characters>2387</Characters>
  <Lines>0</Lines>
  <Paragraphs>0</Paragraphs>
  <TotalTime>4</TotalTime>
  <ScaleCrop>false</ScaleCrop>
  <LinksUpToDate>false</LinksUpToDate>
  <CharactersWithSpaces>2411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2026-09-20T07:45:12Z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