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4B3D">
      <w:pPr>
        <w:jc w:val="both"/>
        <w:rPr>
          <w:rFonts w:hint="eastAsia" w:ascii="方正小标宋简体" w:hAnsi="方正小标宋简体" w:eastAsia="方正小标宋简体" w:cs="方正小标宋简体"/>
          <w:b w:val="0"/>
          <w:bCs/>
          <w:sz w:val="48"/>
          <w:szCs w:val="48"/>
          <w:u w:val="single"/>
          <w:lang w:val="en-US" w:eastAsia="zh-CN" w:bidi="ar"/>
        </w:rPr>
      </w:pPr>
    </w:p>
    <w:p w14:paraId="3F945217">
      <w:pPr>
        <w:jc w:val="both"/>
        <w:rPr>
          <w:rFonts w:hint="eastAsia" w:ascii="方正小标宋简体" w:hAnsi="方正小标宋简体" w:eastAsia="方正小标宋简体" w:cs="方正小标宋简体"/>
          <w:b w:val="0"/>
          <w:bCs/>
          <w:sz w:val="48"/>
          <w:szCs w:val="48"/>
          <w:u w:val="single"/>
          <w:lang w:val="en-US" w:eastAsia="zh-CN" w:bidi="ar"/>
        </w:rPr>
      </w:pPr>
    </w:p>
    <w:p w14:paraId="3402984A">
      <w:pPr>
        <w:jc w:val="both"/>
        <w:rPr>
          <w:rFonts w:hint="eastAsia" w:ascii="方正小标宋简体" w:hAnsi="方正小标宋简体" w:eastAsia="方正小标宋简体" w:cs="方正小标宋简体"/>
          <w:b w:val="0"/>
          <w:bCs/>
          <w:sz w:val="48"/>
          <w:szCs w:val="48"/>
          <w:u w:val="single"/>
          <w:lang w:val="en-US" w:eastAsia="zh-CN" w:bidi="ar"/>
        </w:rPr>
      </w:pPr>
    </w:p>
    <w:p w14:paraId="460534A2">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湖南数据云地理信息技术有限公司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0976ADFE">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3F5C1552">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B6C84E4">
      <w:pPr>
        <w:rPr>
          <w:rFonts w:hint="default" w:ascii="Times New Roman" w:hAnsi="Times New Roman" w:cs="Times New Roman"/>
        </w:rPr>
      </w:pPr>
    </w:p>
    <w:p w14:paraId="1E3FF6CF">
      <w:pPr>
        <w:rPr>
          <w:rFonts w:hint="default" w:ascii="Times New Roman" w:hAnsi="Times New Roman" w:cs="Times New Roman"/>
        </w:rPr>
      </w:pPr>
    </w:p>
    <w:p w14:paraId="0B1A75B6">
      <w:pPr>
        <w:rPr>
          <w:rFonts w:hint="default" w:ascii="Times New Roman" w:hAnsi="Times New Roman" w:cs="Times New Roman"/>
        </w:rPr>
      </w:pPr>
    </w:p>
    <w:p w14:paraId="1B1CFDBA">
      <w:pPr>
        <w:rPr>
          <w:rFonts w:hint="default" w:ascii="Times New Roman" w:hAnsi="Times New Roman" w:cs="Times New Roman"/>
        </w:rPr>
      </w:pPr>
    </w:p>
    <w:p w14:paraId="4FD1A593">
      <w:pPr>
        <w:rPr>
          <w:rFonts w:hint="default" w:ascii="Times New Roman" w:hAnsi="Times New Roman" w:cs="Times New Roman"/>
        </w:rPr>
      </w:pPr>
    </w:p>
    <w:p w14:paraId="5CB5B363">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湖南数据云地理信息技术有限公司</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民营企业</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湖南省长沙市天心区新岭路88号新兴企业中心研发楼及地下室1121号</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丁</w:t>
            </w:r>
            <w:r>
              <w:rPr>
                <w:rFonts w:hint="eastAsia" w:ascii="宋体" w:hAnsi="宋体" w:eastAsia="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rPr>
              <w:t>芳</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乙级：测绘航空摄影、工程测量、界线与不动产测绘、地理信息系统工程</w:t>
            </w:r>
          </w:p>
        </w:tc>
      </w:tr>
    </w:tbl>
    <w:p w14:paraId="26B8FDB0">
      <w:pPr>
        <w:rPr>
          <w:rFonts w:hint="default" w:ascii="Times New Roman" w:hAnsi="Times New Roman" w:cs="Times New Roman"/>
        </w:rPr>
      </w:pPr>
    </w:p>
    <w:p w14:paraId="3D780408">
      <w:pPr>
        <w:jc w:val="center"/>
        <w:rPr>
          <w:rFonts w:hint="default" w:ascii="Times New Roman" w:hAnsi="Times New Roman" w:cs="Times New Roman"/>
          <w:b/>
          <w:spacing w:val="70"/>
          <w:sz w:val="36"/>
        </w:rPr>
      </w:pPr>
    </w:p>
    <w:p w14:paraId="29C481CB">
      <w:pPr>
        <w:jc w:val="center"/>
        <w:rPr>
          <w:rFonts w:hint="default" w:ascii="Times New Roman" w:hAnsi="Times New Roman" w:cs="Times New Roman"/>
          <w:b/>
          <w:spacing w:val="70"/>
          <w:sz w:val="36"/>
        </w:rPr>
      </w:pPr>
    </w:p>
    <w:p w14:paraId="7213C11F">
      <w:pPr>
        <w:jc w:val="center"/>
        <w:rPr>
          <w:rFonts w:hint="default" w:ascii="Times New Roman" w:hAnsi="Times New Roman" w:cs="Times New Roman"/>
          <w:b/>
          <w:spacing w:val="70"/>
          <w:sz w:val="36"/>
        </w:rPr>
      </w:pPr>
    </w:p>
    <w:p w14:paraId="6B16A218">
      <w:pPr>
        <w:jc w:val="center"/>
        <w:rPr>
          <w:rFonts w:hint="default" w:ascii="Times New Roman" w:hAnsi="Times New Roman" w:cs="Times New Roman"/>
          <w:b/>
          <w:spacing w:val="70"/>
          <w:sz w:val="36"/>
        </w:rPr>
      </w:pPr>
    </w:p>
    <w:p w14:paraId="729D09B4">
      <w:pPr>
        <w:jc w:val="center"/>
        <w:rPr>
          <w:rFonts w:hint="default" w:ascii="Times New Roman" w:hAnsi="Times New Roman" w:cs="Times New Roman"/>
          <w:b/>
          <w:spacing w:val="70"/>
          <w:sz w:val="36"/>
        </w:rPr>
      </w:pPr>
    </w:p>
    <w:p w14:paraId="704A2214">
      <w:pPr>
        <w:jc w:val="center"/>
        <w:rPr>
          <w:rFonts w:hint="default" w:ascii="Times New Roman" w:hAnsi="Times New Roman" w:cs="Times New Roman"/>
          <w:b/>
          <w:spacing w:val="70"/>
          <w:sz w:val="36"/>
        </w:rPr>
      </w:pPr>
    </w:p>
    <w:p w14:paraId="1902D386">
      <w:pPr>
        <w:jc w:val="both"/>
        <w:rPr>
          <w:rFonts w:hint="eastAsia" w:ascii="方正小标宋_GBK" w:hAnsi="方正小标宋_GBK" w:eastAsia="方正小标宋_GBK" w:cs="方正小标宋_GBK"/>
          <w:b w:val="0"/>
          <w:bCs w:val="0"/>
          <w:sz w:val="36"/>
          <w:szCs w:val="36"/>
          <w:lang w:bidi="ar"/>
        </w:rPr>
      </w:pPr>
    </w:p>
    <w:p w14:paraId="22B6A3DD">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311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1098DF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w:t>
            </w:r>
            <w:r>
              <w:rPr>
                <w:rFonts w:hint="eastAsia" w:ascii="黑体" w:hAnsi="黑体" w:eastAsia="黑体" w:cs="黑体"/>
                <w:b w:val="0"/>
                <w:bCs/>
                <w:color w:val="000000" w:themeColor="text1"/>
                <w:sz w:val="24"/>
                <w:szCs w:val="24"/>
                <w:lang w:val="en-US" w:eastAsia="zh-CN" w:bidi="ar"/>
                <w14:textFill>
                  <w14:solidFill>
                    <w14:schemeClr w14:val="tx1"/>
                  </w14:solidFill>
                </w14:textFill>
              </w:rPr>
              <w:t>高</w:t>
            </w:r>
            <w:r>
              <w:rPr>
                <w:rFonts w:hint="eastAsia" w:ascii="黑体" w:hAnsi="黑体" w:eastAsia="黑体" w:cs="黑体"/>
                <w:b w:val="0"/>
                <w:bCs/>
                <w:color w:val="000000" w:themeColor="text1"/>
                <w:sz w:val="24"/>
                <w:szCs w:val="24"/>
                <w:lang w:bidi="ar"/>
                <w14:textFill>
                  <w14:solidFill>
                    <w14:schemeClr w14:val="tx1"/>
                  </w14:solidFill>
                </w14:textFill>
              </w:rPr>
              <w:t>级技术人员</w:t>
            </w:r>
          </w:p>
        </w:tc>
      </w:tr>
      <w:tr w14:paraId="472D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5DDC3A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C7DE12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89F8EC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66EE97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711E0F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750E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E7465B1">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2BDD084">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丁</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1AFB3A">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10E5648">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998EF43">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3DC0411E">
      <w:pPr>
        <w:jc w:val="center"/>
        <w:rPr>
          <w:rFonts w:hint="eastAsia" w:ascii="方正小标宋_GBK" w:hAnsi="方正小标宋_GBK" w:eastAsia="方正小标宋_GBK" w:cs="方正小标宋_GBK"/>
          <w:b w:val="0"/>
          <w:bCs w:val="0"/>
          <w:sz w:val="36"/>
          <w:szCs w:val="36"/>
          <w:lang w:eastAsia="zh-CN" w:bidi="ar"/>
        </w:rPr>
      </w:pPr>
    </w:p>
    <w:p w14:paraId="67275328">
      <w:pPr>
        <w:jc w:val="center"/>
        <w:rPr>
          <w:rFonts w:hint="eastAsia" w:ascii="方正小标宋_GBK" w:hAnsi="方正小标宋_GBK" w:eastAsia="方正小标宋_GBK" w:cs="方正小标宋_GBK"/>
          <w:b w:val="0"/>
          <w:bCs w:val="0"/>
          <w:sz w:val="36"/>
          <w:szCs w:val="36"/>
          <w:lang w:eastAsia="zh-CN" w:bidi="ar"/>
        </w:rPr>
      </w:pPr>
    </w:p>
    <w:p w14:paraId="349624C4">
      <w:pPr>
        <w:jc w:val="center"/>
        <w:rPr>
          <w:rFonts w:hint="eastAsia" w:ascii="方正小标宋_GBK" w:hAnsi="方正小标宋_GBK" w:eastAsia="方正小标宋_GBK" w:cs="方正小标宋_GBK"/>
          <w:b w:val="0"/>
          <w:bCs w:val="0"/>
          <w:sz w:val="36"/>
          <w:szCs w:val="36"/>
          <w:lang w:eastAsia="zh-CN" w:bidi="ar"/>
        </w:rPr>
      </w:pPr>
    </w:p>
    <w:p w14:paraId="0796E56B">
      <w:pPr>
        <w:jc w:val="center"/>
        <w:rPr>
          <w:rFonts w:hint="eastAsia" w:ascii="方正小标宋_GBK" w:hAnsi="方正小标宋_GBK" w:eastAsia="方正小标宋_GBK" w:cs="方正小标宋_GBK"/>
          <w:b w:val="0"/>
          <w:bCs w:val="0"/>
          <w:sz w:val="36"/>
          <w:szCs w:val="36"/>
          <w:lang w:eastAsia="zh-CN" w:bidi="ar"/>
        </w:rPr>
      </w:pPr>
    </w:p>
    <w:p w14:paraId="32491B06">
      <w:pPr>
        <w:jc w:val="center"/>
        <w:rPr>
          <w:rFonts w:hint="eastAsia" w:ascii="方正小标宋_GBK" w:hAnsi="方正小标宋_GBK" w:eastAsia="方正小标宋_GBK" w:cs="方正小标宋_GBK"/>
          <w:b w:val="0"/>
          <w:bCs w:val="0"/>
          <w:sz w:val="36"/>
          <w:szCs w:val="36"/>
          <w:lang w:eastAsia="zh-CN" w:bidi="ar"/>
        </w:rPr>
      </w:pPr>
    </w:p>
    <w:p w14:paraId="0277AF5C">
      <w:pPr>
        <w:jc w:val="center"/>
        <w:rPr>
          <w:rFonts w:hint="eastAsia" w:ascii="方正小标宋_GBK" w:hAnsi="方正小标宋_GBK" w:eastAsia="方正小标宋_GBK" w:cs="方正小标宋_GBK"/>
          <w:b w:val="0"/>
          <w:bCs w:val="0"/>
          <w:sz w:val="36"/>
          <w:szCs w:val="36"/>
          <w:lang w:eastAsia="zh-CN" w:bidi="ar"/>
        </w:rPr>
      </w:pPr>
    </w:p>
    <w:p w14:paraId="5E99A177">
      <w:pPr>
        <w:jc w:val="center"/>
        <w:rPr>
          <w:rFonts w:hint="eastAsia" w:ascii="方正小标宋_GBK" w:hAnsi="方正小标宋_GBK" w:eastAsia="方正小标宋_GBK" w:cs="方正小标宋_GBK"/>
          <w:b w:val="0"/>
          <w:bCs w:val="0"/>
          <w:sz w:val="36"/>
          <w:szCs w:val="36"/>
          <w:lang w:eastAsia="zh-CN" w:bidi="ar"/>
        </w:rPr>
      </w:pPr>
    </w:p>
    <w:p w14:paraId="7CA37C10">
      <w:pPr>
        <w:jc w:val="both"/>
        <w:rPr>
          <w:rFonts w:hint="eastAsia" w:ascii="方正小标宋_GBK" w:hAnsi="方正小标宋_GBK" w:eastAsia="方正小标宋_GBK" w:cs="方正小标宋_GBK"/>
          <w:b w:val="0"/>
          <w:bCs w:val="0"/>
          <w:sz w:val="36"/>
          <w:szCs w:val="36"/>
          <w:lang w:eastAsia="zh-CN" w:bidi="ar"/>
        </w:rPr>
      </w:pPr>
    </w:p>
    <w:p w14:paraId="337BBD27">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7513FA">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9B7FB6">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韩丽萍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2D6A7">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7575D5">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52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1A0DF2">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B1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D83C53">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4E8A888">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杨梦玲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183F2A8">
            <w:pPr>
              <w:spacing w:line="400" w:lineRule="exact"/>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DA07A85">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F1D5C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853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1DBD13A">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109118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姜威保</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A66E00">
            <w:pPr>
              <w:spacing w:line="400" w:lineRule="exact"/>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296E617">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4A051EF">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AE0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B39421">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BB4EF2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吴</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丹</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B69DA38">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ADA71C">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4A04224">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310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A2EBEE7">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79A485E">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"javascript:__doPostBack('GvList$ctl03$Link_Name','')"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程业超</w:t>
            </w:r>
            <w:r>
              <w:rPr>
                <w:rFonts w:hint="default" w:ascii="宋体" w:hAnsi="宋体" w:cs="宋体"/>
                <w:color w:val="000000" w:themeColor="text1"/>
                <w:sz w:val="24"/>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EFD1AC3">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B4A755D">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C35363">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w:t>
            </w:r>
          </w:p>
        </w:tc>
      </w:tr>
    </w:tbl>
    <w:p w14:paraId="6083F1D6">
      <w:pPr>
        <w:rPr>
          <w:rFonts w:hint="default" w:ascii="Times New Roman" w:hAnsi="Times New Roman" w:cs="Times New Roman"/>
        </w:rPr>
      </w:pPr>
    </w:p>
    <w:p w14:paraId="26B7E81C">
      <w:pPr>
        <w:rPr>
          <w:rFonts w:hint="default" w:ascii="Times New Roman" w:hAnsi="Times New Roman" w:cs="Times New Roman"/>
        </w:rPr>
      </w:pPr>
    </w:p>
    <w:p w14:paraId="675CEA43">
      <w:pPr>
        <w:rPr>
          <w:rFonts w:hint="default" w:ascii="Times New Roman" w:hAnsi="Times New Roman" w:cs="Times New Roman"/>
        </w:rPr>
      </w:pPr>
    </w:p>
    <w:p w14:paraId="3C950232">
      <w:pPr>
        <w:rPr>
          <w:rFonts w:hint="default" w:ascii="Times New Roman" w:hAnsi="Times New Roman" w:cs="Times New Roman"/>
        </w:rPr>
      </w:pPr>
    </w:p>
    <w:p w14:paraId="1DDF90A6">
      <w:pPr>
        <w:rPr>
          <w:rFonts w:hint="default" w:ascii="Times New Roman" w:hAnsi="Times New Roman" w:cs="Times New Roman"/>
        </w:rPr>
      </w:pPr>
    </w:p>
    <w:p w14:paraId="0E08F5DA">
      <w:pPr>
        <w:rPr>
          <w:rFonts w:hint="default" w:ascii="Times New Roman" w:hAnsi="Times New Roman" w:cs="Times New Roman"/>
        </w:rPr>
      </w:pPr>
    </w:p>
    <w:p w14:paraId="19CD3A18">
      <w:pPr>
        <w:rPr>
          <w:rFonts w:hint="default" w:ascii="Times New Roman" w:hAnsi="Times New Roman" w:cs="Times New Roman"/>
        </w:rPr>
      </w:pPr>
    </w:p>
    <w:p w14:paraId="366AC1EA">
      <w:pPr>
        <w:rPr>
          <w:rFonts w:hint="default" w:ascii="Times New Roman" w:hAnsi="Times New Roman" w:cs="Times New Roman"/>
        </w:rPr>
      </w:pPr>
    </w:p>
    <w:p w14:paraId="370688D2">
      <w:pPr>
        <w:rPr>
          <w:rFonts w:hint="default" w:ascii="Times New Roman" w:hAnsi="Times New Roman" w:cs="Times New Roman"/>
        </w:rPr>
      </w:pPr>
    </w:p>
    <w:p w14:paraId="56BAB18A">
      <w:pPr>
        <w:rPr>
          <w:rFonts w:hint="default" w:ascii="Times New Roman" w:hAnsi="Times New Roman" w:cs="Times New Roman"/>
        </w:rPr>
      </w:pPr>
    </w:p>
    <w:p w14:paraId="077157E2">
      <w:pPr>
        <w:rPr>
          <w:rFonts w:hint="default" w:ascii="Times New Roman" w:hAnsi="Times New Roman" w:cs="Times New Roman"/>
        </w:rPr>
      </w:pPr>
    </w:p>
    <w:p w14:paraId="73E8ED34">
      <w:pPr>
        <w:rPr>
          <w:rFonts w:hint="default" w:ascii="Times New Roman" w:hAnsi="Times New Roman" w:cs="Times New Roman"/>
        </w:rPr>
      </w:pPr>
    </w:p>
    <w:p w14:paraId="2648CC7D">
      <w:pPr>
        <w:rPr>
          <w:rFonts w:hint="default" w:ascii="Times New Roman" w:hAnsi="Times New Roman" w:cs="Times New Roman"/>
        </w:rPr>
      </w:pPr>
    </w:p>
    <w:p w14:paraId="08EB95BA">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01D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6965AB5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w:t>
            </w:r>
            <w:r>
              <w:rPr>
                <w:rFonts w:hint="eastAsia" w:ascii="黑体" w:hAnsi="黑体" w:eastAsia="黑体" w:cs="黑体"/>
                <w:b w:val="0"/>
                <w:bCs/>
                <w:color w:val="000000" w:themeColor="text1"/>
                <w:sz w:val="24"/>
                <w:szCs w:val="24"/>
                <w:lang w:val="en-US" w:eastAsia="zh-CN" w:bidi="ar"/>
                <w14:textFill>
                  <w14:solidFill>
                    <w14:schemeClr w14:val="tx1"/>
                  </w14:solidFill>
                </w14:textFill>
              </w:rPr>
              <w:t>初</w:t>
            </w:r>
            <w:r>
              <w:rPr>
                <w:rFonts w:hint="eastAsia" w:ascii="黑体" w:hAnsi="黑体" w:eastAsia="黑体" w:cs="黑体"/>
                <w:b w:val="0"/>
                <w:bCs/>
                <w:color w:val="000000" w:themeColor="text1"/>
                <w:sz w:val="24"/>
                <w:szCs w:val="24"/>
                <w:lang w:bidi="ar"/>
                <w14:textFill>
                  <w14:solidFill>
                    <w14:schemeClr w14:val="tx1"/>
                  </w14:solidFill>
                </w14:textFill>
              </w:rPr>
              <w:t>级技术人员</w:t>
            </w:r>
          </w:p>
        </w:tc>
      </w:tr>
      <w:tr w14:paraId="7497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011E3E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F5D84F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252C65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713D94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40607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44F5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0628AB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2A1D14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许仕金</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AE4BC8A">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3CAF16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D7569A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EF0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419381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D981E3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黄</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耒</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8EA6B31">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6102E2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F244C0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1B2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2A22ED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1A5D86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李</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兵</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8E16F48">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6CEA0A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433362F">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9C9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3928BA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D19B39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杨</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鹏</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321A34C">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EB7045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9F8B65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7BF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3E4DD5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92C44D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侯</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晶</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FB2BB6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8F7B8C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4A0A62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19460C63">
      <w:pPr>
        <w:rPr>
          <w:rFonts w:hint="default" w:ascii="Times New Roman" w:hAnsi="Times New Roman" w:cs="Times New Roman"/>
        </w:rPr>
      </w:pPr>
    </w:p>
    <w:p w14:paraId="3868328E">
      <w:pPr>
        <w:rPr>
          <w:rFonts w:hint="default" w:ascii="Times New Roman" w:hAnsi="Times New Roman" w:cs="Times New Roman"/>
        </w:rPr>
      </w:pPr>
    </w:p>
    <w:p w14:paraId="24711FCD">
      <w:pPr>
        <w:rPr>
          <w:rFonts w:hint="default" w:ascii="Times New Roman" w:hAnsi="Times New Roman" w:cs="Times New Roman"/>
        </w:rPr>
      </w:pPr>
    </w:p>
    <w:p w14:paraId="7BCD49EA">
      <w:pPr>
        <w:rPr>
          <w:rFonts w:hint="default" w:ascii="Times New Roman" w:hAnsi="Times New Roman" w:cs="Times New Roman"/>
        </w:rPr>
      </w:pPr>
    </w:p>
    <w:p w14:paraId="60C14C09">
      <w:pPr>
        <w:rPr>
          <w:rFonts w:hint="default" w:ascii="Times New Roman" w:hAnsi="Times New Roman" w:cs="Times New Roman"/>
        </w:rPr>
      </w:pPr>
    </w:p>
    <w:p w14:paraId="4E62E510">
      <w:pPr>
        <w:rPr>
          <w:rFonts w:hint="default" w:ascii="Times New Roman" w:hAnsi="Times New Roman" w:cs="Times New Roman"/>
        </w:rPr>
      </w:pPr>
    </w:p>
    <w:p w14:paraId="5060FCB4">
      <w:pPr>
        <w:rPr>
          <w:rFonts w:hint="default" w:ascii="Times New Roman" w:hAnsi="Times New Roman" w:cs="Times New Roman"/>
        </w:rPr>
      </w:pPr>
    </w:p>
    <w:p w14:paraId="25C95095">
      <w:pPr>
        <w:rPr>
          <w:rFonts w:hint="default" w:ascii="Times New Roman" w:hAnsi="Times New Roman" w:cs="Times New Roman"/>
        </w:rPr>
      </w:pPr>
    </w:p>
    <w:p w14:paraId="3C85DD5E">
      <w:pPr>
        <w:rPr>
          <w:rFonts w:hint="default" w:ascii="Times New Roman" w:hAnsi="Times New Roman" w:cs="Times New Roman"/>
        </w:rPr>
      </w:pPr>
    </w:p>
    <w:p w14:paraId="70B4D57E">
      <w:pPr>
        <w:rPr>
          <w:rFonts w:hint="default" w:ascii="Times New Roman" w:hAnsi="Times New Roman" w:cs="Times New Roman"/>
        </w:rPr>
      </w:pPr>
    </w:p>
    <w:p w14:paraId="6BBE2AF7">
      <w:pPr>
        <w:rPr>
          <w:rFonts w:hint="default" w:ascii="Times New Roman" w:hAnsi="Times New Roman" w:cs="Times New Roman"/>
        </w:rPr>
      </w:pPr>
    </w:p>
    <w:p w14:paraId="593339C5">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w:t>
            </w:r>
            <w:r>
              <w:rPr>
                <w:rFonts w:hint="eastAsia" w:ascii="黑体" w:hAnsi="黑体" w:eastAsia="黑体" w:cs="黑体"/>
                <w:b w:val="0"/>
                <w:bCs/>
                <w:color w:val="000000" w:themeColor="text1"/>
                <w:sz w:val="24"/>
                <w:szCs w:val="24"/>
                <w:lang w:val="en-US" w:eastAsia="zh-CN" w:bidi="ar"/>
                <w14:textFill>
                  <w14:solidFill>
                    <w14:schemeClr w14:val="tx1"/>
                  </w14:solidFill>
                </w14:textFill>
              </w:rPr>
              <w:t>相关专业</w:t>
            </w:r>
            <w:r>
              <w:rPr>
                <w:rFonts w:hint="eastAsia" w:ascii="黑体" w:hAnsi="黑体" w:eastAsia="黑体" w:cs="黑体"/>
                <w:b w:val="0"/>
                <w:bCs/>
                <w:color w:val="000000" w:themeColor="text1"/>
                <w:sz w:val="24"/>
                <w:szCs w:val="24"/>
                <w:lang w:bidi="ar"/>
                <w14:textFill>
                  <w14:solidFill>
                    <w14:schemeClr w14:val="tx1"/>
                  </w14:solidFill>
                </w14:textFill>
              </w:rPr>
              <w:t>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BCA532">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E8BF1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查泽旺</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BCEBA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ED2DB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8075F5">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人文地理与城乡规划</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113CD9">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777AE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应</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征</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4817A8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C1FE9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332FB7">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人文地理与城乡规划</w:t>
            </w:r>
          </w:p>
        </w:tc>
      </w:tr>
      <w:tr w14:paraId="7464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D91C670">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6B65E2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杨</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栋</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B8A055E">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7FA403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D89DC4C">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人文地理与城乡规划</w:t>
            </w:r>
          </w:p>
        </w:tc>
      </w:tr>
      <w:tr w14:paraId="2A9A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0CBAB1F">
            <w:pPr>
              <w:spacing w:line="400" w:lineRule="exact"/>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A7691B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李利翔</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7E2A470">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4DC4C0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0110372">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土木工程</w:t>
            </w:r>
          </w:p>
        </w:tc>
      </w:tr>
      <w:tr w14:paraId="5826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3FEB35A">
            <w:pPr>
              <w:spacing w:line="400" w:lineRule="exact"/>
              <w:jc w:val="cente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34E249C">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廖</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斌</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1B7BECB">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82371CF">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68BAC39">
            <w:pPr>
              <w:spacing w:line="240" w:lineRule="exact"/>
              <w:ind w:left="-105" w:leftChars="0" w:right="-105" w:rightChars="0"/>
              <w:jc w:val="center"/>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建筑工程管理</w:t>
            </w:r>
          </w:p>
        </w:tc>
      </w:tr>
    </w:tbl>
    <w:p w14:paraId="5F14D460">
      <w:pPr>
        <w:rPr>
          <w:rFonts w:hint="default" w:ascii="Times New Roman" w:hAnsi="Times New Roman" w:cs="Times New Roman"/>
        </w:rPr>
      </w:pPr>
    </w:p>
    <w:p w14:paraId="68C5DE53">
      <w:pPr>
        <w:rPr>
          <w:rFonts w:hint="default" w:ascii="Times New Roman" w:hAnsi="Times New Roman" w:cs="Times New Roman"/>
        </w:rPr>
      </w:pPr>
    </w:p>
    <w:p w14:paraId="1746AE94">
      <w:pPr>
        <w:rPr>
          <w:rFonts w:hint="default" w:ascii="Times New Roman" w:hAnsi="Times New Roman" w:cs="Times New Roman"/>
        </w:rPr>
      </w:pPr>
    </w:p>
    <w:p w14:paraId="0A00E63E">
      <w:pPr>
        <w:rPr>
          <w:rFonts w:hint="default" w:ascii="Times New Roman" w:hAnsi="Times New Roman" w:cs="Times New Roman"/>
        </w:rPr>
      </w:pPr>
    </w:p>
    <w:p w14:paraId="25D50C70">
      <w:pPr>
        <w:rPr>
          <w:rFonts w:hint="default" w:ascii="Times New Roman" w:hAnsi="Times New Roman" w:cs="Times New Roman"/>
        </w:rPr>
      </w:pPr>
    </w:p>
    <w:p w14:paraId="60843E1B">
      <w:pPr>
        <w:rPr>
          <w:rFonts w:hint="default" w:ascii="Times New Roman" w:hAnsi="Times New Roman" w:cs="Times New Roman"/>
        </w:rPr>
      </w:pPr>
    </w:p>
    <w:p w14:paraId="6C7689C4">
      <w:pPr>
        <w:rPr>
          <w:rFonts w:hint="default" w:ascii="Times New Roman" w:hAnsi="Times New Roman" w:cs="Times New Roman"/>
        </w:rPr>
      </w:pPr>
    </w:p>
    <w:p w14:paraId="6193FDA2">
      <w:pPr>
        <w:rPr>
          <w:rFonts w:hint="default" w:ascii="Times New Roman" w:hAnsi="Times New Roman" w:cs="Times New Roman"/>
        </w:rPr>
      </w:pPr>
    </w:p>
    <w:p w14:paraId="6BF811B6">
      <w:pPr>
        <w:rPr>
          <w:rFonts w:hint="default" w:ascii="Times New Roman" w:hAnsi="Times New Roman" w:cs="Times New Roman"/>
        </w:rPr>
      </w:pPr>
    </w:p>
    <w:p w14:paraId="5F77A053">
      <w:pPr>
        <w:rPr>
          <w:rFonts w:hint="default" w:ascii="Times New Roman" w:hAnsi="Times New Roman" w:cs="Times New Roman"/>
        </w:rPr>
      </w:pPr>
    </w:p>
    <w:p w14:paraId="11386BB7">
      <w:pPr>
        <w:rPr>
          <w:rFonts w:hint="default" w:ascii="Times New Roman" w:hAnsi="Times New Roman" w:cs="Times New Roman"/>
        </w:rPr>
      </w:pPr>
    </w:p>
    <w:p w14:paraId="6C68D139">
      <w:pPr>
        <w:jc w:val="both"/>
        <w:rPr>
          <w:rFonts w:hint="eastAsia" w:ascii="方正小标宋_GBK" w:hAnsi="方正小标宋_GBK" w:eastAsia="方正小标宋_GBK" w:cs="方正小标宋_GBK"/>
          <w:b w:val="0"/>
          <w:bCs w:val="0"/>
          <w:sz w:val="36"/>
          <w:szCs w:val="36"/>
          <w:lang w:bidi="ar"/>
        </w:rPr>
      </w:pPr>
    </w:p>
    <w:p w14:paraId="7A318BBB">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24AC1D">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826633">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"javascript:__doPostBack('GvData$ctl02$Link_EquipmentName','')"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GNSS接收机（不低于5mm+1ppm精度）</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58C36E">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中海达V300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DD4544">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A8908">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"javascript:__doPostBack('GvData$ctl04$Link_EquipmentName','')"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专业测绘航摄仪及其他测绘传感器</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E8DBA7">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大疆Matrice4E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C3D31">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51793CB">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"javascript:__doPostBack('GvData$ctl05$Link_EquipmentName','')"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GNSS接收机（不低于5mm+1ppm精度）</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9B2F0E">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中海达V90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1DF0428">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051CBA">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BC4286">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"javascript:__doPostBack('GvData$ctl06$Link_EquipmentName','')"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全站仪（不低于2秒级精度）</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DED00B">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中海达ZTS-121R</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BDE6AD">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704F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E2CC87A">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277178">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"javascript:__doPostBack('GvData$ctl07$Link_EquipmentName','')"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无人飞行测量采集系统</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871DD99">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大疆精灵4RTK</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8576BD">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600E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0D70D31">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C4572F9">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"javascript:__doPostBack('GvData$ctl08$Link_EquipmentName','')"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专业测绘航摄仪及其他测绘传感器</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6A608FA">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大疆精灵4RTK</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A25A740">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7C64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51FEFFA">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6254C5">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"javascript:__doPostBack('GvData$ctl09$Link_EquipmentName','')"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地理信息系统平台软件</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5D30882">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湖南数据云国土空间基础信息平台</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7F03A7F">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66BF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839E07F">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80CCF67">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"javascript:__doPostBack('GvData$ctl10$Link_EquipmentName','')"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地理信息系统平台软件</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F0164A8">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数据云自然资源调查系统</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82F041">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2775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082CD2B">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68EC2FA">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"javascript:__doPostBack('GvData$ctl11$Link_EquipmentName','')"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地理信息系统平台软件</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1870960">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数据云多测合一信息管理平台</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4B7E527">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3ADC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0A68866">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150CCC">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"javascript:__doPostBack('GvData$ctl12$Link_EquipmentName','')"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地理信息系统平台软件</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DC351C1">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数据云市情服务平台</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3E07569">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2311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C38460D">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8B199F6">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"javascript:__doPostBack('GvData$ctl12$Link_EquipmentName','')"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地理信息系统平台软件</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32A4A8B">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数据云时空大数据与云平台</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B5A5EFD">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4638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1DCD22A">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3CD3C21">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"javascript:__doPostBack('GvData$ctl12$Link_EquipmentName','')" </w:instrText>
            </w:r>
            <w:r>
              <w:rPr>
                <w:rFonts w:hint="eastAsia" w:ascii="宋体" w:hAnsi="宋体" w:cs="宋体"/>
                <w:color w:val="000000" w:themeColor="text1"/>
                <w:sz w:val="24"/>
                <w14:textFill>
                  <w14:solidFill>
                    <w14:schemeClr w14:val="tx1"/>
                  </w14:solidFill>
                </w14:textFill>
              </w:rPr>
              <w:fldChar w:fldCharType="separate"/>
            </w:r>
            <w:r>
              <w:rPr>
                <w:rFonts w:hint="default" w:ascii="宋体" w:hAnsi="宋体" w:cs="宋体"/>
                <w:color w:val="000000" w:themeColor="text1"/>
                <w:sz w:val="24"/>
                <w14:textFill>
                  <w14:solidFill>
                    <w14:schemeClr w14:val="tx1"/>
                  </w14:solidFill>
                </w14:textFill>
              </w:rPr>
              <w:t>地理信息系统平台软件</w:t>
            </w:r>
            <w:r>
              <w:rPr>
                <w:rFonts w:hint="default" w:ascii="宋体" w:hAnsi="宋体" w:cs="宋体"/>
                <w:color w:val="000000" w:themeColor="text1"/>
                <w:sz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BA24DE9">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数据云自然资源档案管理系统</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F02F79D">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r w14:paraId="74E1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6EBFE10">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DDCB8FE">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fldChar w:fldCharType="begin"/>
            </w:r>
            <w:r>
              <w:rPr>
                <w:rFonts w:hint="eastAsia" w:ascii="宋体" w:hAnsi="宋体" w:cs="宋体"/>
                <w:color w:val="000000" w:themeColor="text1"/>
                <w:sz w:val="24"/>
                <w:lang w:val="en-US" w:eastAsia="zh-CN"/>
                <w14:textFill>
                  <w14:solidFill>
                    <w14:schemeClr w14:val="tx1"/>
                  </w14:solidFill>
                </w14:textFill>
              </w:rPr>
              <w:instrText xml:space="preserve"> HYPERLINK "javascript:__doPostBack('GvData$ctl12$Link_EquipmentName','')" </w:instrText>
            </w:r>
            <w:r>
              <w:rPr>
                <w:rFonts w:hint="eastAsia" w:ascii="宋体" w:hAnsi="宋体" w:cs="宋体"/>
                <w:color w:val="000000" w:themeColor="text1"/>
                <w:sz w:val="24"/>
                <w:lang w:val="en-US" w:eastAsia="zh-CN"/>
                <w14:textFill>
                  <w14:solidFill>
                    <w14:schemeClr w14:val="tx1"/>
                  </w14:solidFill>
                </w14:textFill>
              </w:rPr>
              <w:fldChar w:fldCharType="separate"/>
            </w:r>
            <w:r>
              <w:rPr>
                <w:rFonts w:hint="default" w:ascii="宋体" w:hAnsi="宋体" w:cs="宋体"/>
                <w:color w:val="000000" w:themeColor="text1"/>
                <w:sz w:val="24"/>
                <w:lang w:val="en-US" w:eastAsia="zh-CN"/>
                <w14:textFill>
                  <w14:solidFill>
                    <w14:schemeClr w14:val="tx1"/>
                  </w14:solidFill>
                </w14:textFill>
              </w:rPr>
              <w:t>地理信息系统平台软件</w:t>
            </w:r>
            <w:r>
              <w:rPr>
                <w:rFonts w:hint="default" w:ascii="宋体" w:hAnsi="宋体" w:cs="宋体"/>
                <w:color w:val="000000" w:themeColor="text1"/>
                <w:sz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FF2DB2A">
            <w:pPr>
              <w:jc w:val="center"/>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数据云通用档案管理系统</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589CED2">
            <w:pPr>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r>
    </w:tbl>
    <w:p w14:paraId="2934E21B">
      <w:pPr>
        <w:jc w:val="center"/>
        <w:rPr>
          <w:rFonts w:hint="default" w:ascii="Times New Roman" w:hAnsi="Times New Roman" w:cs="Times New Roman"/>
          <w:b/>
          <w:sz w:val="44"/>
          <w:szCs w:val="44"/>
        </w:rPr>
      </w:pPr>
    </w:p>
    <w:p w14:paraId="69EECF1C">
      <w:pPr>
        <w:jc w:val="both"/>
        <w:rPr>
          <w:rFonts w:hint="eastAsia" w:ascii="方正小标宋_GBK" w:hAnsi="方正小标宋_GBK" w:eastAsia="方正小标宋_GBK" w:cs="方正小标宋_GBK"/>
          <w:b w:val="0"/>
          <w:bCs w:val="0"/>
          <w:sz w:val="36"/>
          <w:szCs w:val="36"/>
          <w:lang w:bidi="ar"/>
        </w:rPr>
      </w:pPr>
    </w:p>
    <w:p w14:paraId="57E5F20A">
      <w:pPr>
        <w:jc w:val="both"/>
        <w:rPr>
          <w:rFonts w:hint="eastAsia" w:ascii="方正小标宋_GBK" w:hAnsi="方正小标宋_GBK" w:eastAsia="方正小标宋_GBK" w:cs="方正小标宋_GBK"/>
          <w:b w:val="0"/>
          <w:bCs w:val="0"/>
          <w:sz w:val="36"/>
          <w:szCs w:val="36"/>
          <w:lang w:bidi="ar"/>
        </w:rPr>
      </w:pPr>
    </w:p>
    <w:p w14:paraId="26EBABC3">
      <w:pPr>
        <w:jc w:val="both"/>
        <w:rPr>
          <w:rFonts w:hint="eastAsia" w:ascii="方正小标宋_GBK" w:hAnsi="方正小标宋_GBK" w:eastAsia="方正小标宋_GBK" w:cs="方正小标宋_GBK"/>
          <w:b w:val="0"/>
          <w:bCs w:val="0"/>
          <w:sz w:val="36"/>
          <w:szCs w:val="36"/>
          <w:lang w:bidi="ar"/>
        </w:rPr>
      </w:pPr>
    </w:p>
    <w:p w14:paraId="3A504244">
      <w:pPr>
        <w:jc w:val="both"/>
        <w:rPr>
          <w:rFonts w:hint="eastAsia" w:ascii="方正小标宋_GBK" w:hAnsi="方正小标宋_GBK" w:eastAsia="方正小标宋_GBK" w:cs="方正小标宋_GBK"/>
          <w:b w:val="0"/>
          <w:bCs w:val="0"/>
          <w:sz w:val="36"/>
          <w:szCs w:val="36"/>
          <w:lang w:bidi="ar"/>
        </w:rPr>
      </w:pPr>
    </w:p>
    <w:p w14:paraId="22A6136A">
      <w:pPr>
        <w:jc w:val="both"/>
        <w:rPr>
          <w:rFonts w:hint="eastAsia" w:ascii="方正小标宋_GBK" w:hAnsi="方正小标宋_GBK" w:eastAsia="方正小标宋_GBK" w:cs="方正小标宋_GBK"/>
          <w:b w:val="0"/>
          <w:bCs w:val="0"/>
          <w:sz w:val="36"/>
          <w:szCs w:val="36"/>
          <w:lang w:bidi="ar"/>
        </w:rPr>
      </w:pPr>
    </w:p>
    <w:p w14:paraId="32086065">
      <w:pPr>
        <w:jc w:val="both"/>
        <w:rPr>
          <w:rFonts w:hint="eastAsia" w:ascii="方正小标宋_GBK" w:hAnsi="方正小标宋_GBK" w:eastAsia="方正小标宋_GBK" w:cs="方正小标宋_GBK"/>
          <w:b w:val="0"/>
          <w:bCs w:val="0"/>
          <w:sz w:val="36"/>
          <w:szCs w:val="36"/>
          <w:lang w:bidi="ar"/>
        </w:rPr>
      </w:pPr>
    </w:p>
    <w:p w14:paraId="13928CD7">
      <w:pPr>
        <w:jc w:val="both"/>
        <w:rPr>
          <w:rFonts w:hint="eastAsia" w:ascii="方正小标宋_GBK" w:hAnsi="方正小标宋_GBK" w:eastAsia="方正小标宋_GBK" w:cs="方正小标宋_GBK"/>
          <w:b w:val="0"/>
          <w:bCs w:val="0"/>
          <w:sz w:val="36"/>
          <w:szCs w:val="36"/>
          <w:lang w:bidi="ar"/>
        </w:rPr>
      </w:pPr>
    </w:p>
    <w:p w14:paraId="290B8802">
      <w:pPr>
        <w:jc w:val="both"/>
        <w:rPr>
          <w:rFonts w:hint="eastAsia" w:ascii="方正小标宋_GBK" w:hAnsi="方正小标宋_GBK" w:eastAsia="方正小标宋_GBK" w:cs="方正小标宋_GBK"/>
          <w:b w:val="0"/>
          <w:bCs w:val="0"/>
          <w:sz w:val="36"/>
          <w:szCs w:val="36"/>
          <w:lang w:bidi="ar"/>
        </w:rPr>
      </w:pPr>
    </w:p>
    <w:p w14:paraId="262C84F8">
      <w:pPr>
        <w:jc w:val="both"/>
        <w:rPr>
          <w:rFonts w:hint="eastAsia" w:ascii="方正小标宋_GBK" w:hAnsi="方正小标宋_GBK" w:eastAsia="方正小标宋_GBK" w:cs="方正小标宋_GBK"/>
          <w:b w:val="0"/>
          <w:bCs w:val="0"/>
          <w:sz w:val="36"/>
          <w:szCs w:val="36"/>
          <w:lang w:bidi="ar"/>
        </w:rPr>
      </w:pPr>
    </w:p>
    <w:p w14:paraId="1379FF6B">
      <w:pPr>
        <w:jc w:val="both"/>
        <w:rPr>
          <w:rFonts w:hint="eastAsia" w:ascii="方正小标宋_GBK" w:hAnsi="方正小标宋_GBK" w:eastAsia="方正小标宋_GBK" w:cs="方正小标宋_GBK"/>
          <w:b w:val="0"/>
          <w:bCs w:val="0"/>
          <w:sz w:val="36"/>
          <w:szCs w:val="36"/>
          <w:lang w:bidi="ar"/>
        </w:rPr>
      </w:pPr>
    </w:p>
    <w:p w14:paraId="02EFCF33">
      <w:pPr>
        <w:jc w:val="both"/>
        <w:rPr>
          <w:rFonts w:hint="eastAsia" w:ascii="方正小标宋_GBK" w:hAnsi="方正小标宋_GBK" w:eastAsia="方正小标宋_GBK" w:cs="方正小标宋_GBK"/>
          <w:b w:val="0"/>
          <w:bCs w:val="0"/>
          <w:sz w:val="36"/>
          <w:szCs w:val="36"/>
          <w:lang w:bidi="ar"/>
        </w:rPr>
      </w:pPr>
    </w:p>
    <w:p w14:paraId="57D8E864">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2539"/>
        <w:gridCol w:w="3788"/>
        <w:gridCol w:w="1777"/>
        <w:gridCol w:w="1777"/>
        <w:gridCol w:w="1777"/>
        <w:gridCol w:w="1777"/>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539"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788"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7099E6A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28B32D9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400CA9DB">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001AC20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4E19DC9C">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w:t>
            </w:r>
          </w:p>
        </w:tc>
        <w:tc>
          <w:tcPr>
            <w:tcW w:w="2539" w:type="dxa"/>
            <w:tcBorders>
              <w:top w:val="single" w:color="auto" w:sz="4" w:space="0"/>
              <w:left w:val="single" w:color="auto" w:sz="4" w:space="0"/>
              <w:bottom w:val="single" w:color="auto" w:sz="4" w:space="0"/>
              <w:right w:val="single" w:color="auto" w:sz="4" w:space="0"/>
            </w:tcBorders>
            <w:noWrap w:val="0"/>
            <w:vAlign w:val="center"/>
          </w:tcPr>
          <w:p w14:paraId="715C0599">
            <w:pPr>
              <w:spacing w:line="240" w:lineRule="exact"/>
              <w:ind w:left="-105" w:leftChars="0" w:right="-105" w:right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耕地恢复属性图斑恢复可行性摸底项目</w:t>
            </w:r>
          </w:p>
        </w:tc>
        <w:tc>
          <w:tcPr>
            <w:tcW w:w="3788" w:type="dxa"/>
            <w:tcBorders>
              <w:top w:val="single" w:color="auto" w:sz="4" w:space="0"/>
              <w:left w:val="single" w:color="auto" w:sz="4" w:space="0"/>
              <w:bottom w:val="single" w:color="auto" w:sz="4" w:space="0"/>
              <w:right w:val="single" w:color="auto" w:sz="4" w:space="0"/>
            </w:tcBorders>
            <w:noWrap w:val="0"/>
            <w:vAlign w:val="center"/>
          </w:tcPr>
          <w:p w14:paraId="0E99097E">
            <w:pPr>
              <w:spacing w:line="240" w:lineRule="exact"/>
              <w:ind w:right="-105" w:rightChars="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湘潭县 作业内容：湘潭县恢复属性图斑恢复可行性摸底项目：收集省厅2024年1月份下发湘潭县耕地后备资源调查和标注“恢复属性” 地类分析评价成果、湘潭县2022年国土变更调查成果和2023年国土变更调查一上数据库、已恢复耕地数据库和坡度图等相关资料。对收集的资料进行内业分析处理，对已经恢复的耕地进行剔除，对坡度是否在15°以下、是否与周边耕地连片、农业配套设施情况等3项指标，逐图斑开展核查。对于内业无法判断的图斑进行外业核实</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7B8369C8">
            <w:pPr>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界线与不动产测绘</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18D60265">
            <w:pPr>
              <w:spacing w:line="240" w:lineRule="exact"/>
              <w:ind w:left="-105" w:leftChars="0" w:right="-105" w:rightChars="0"/>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5.0980</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446BD9F1">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2024</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12</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23</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61BC1355">
            <w:pPr>
              <w:spacing w:line="240" w:lineRule="exact"/>
              <w:ind w:left="-105" w:leftChars="0" w:right="-105" w:rightChars="0"/>
              <w:jc w:val="center"/>
              <w:rPr>
                <w:rFonts w:hint="eastAsia" w:ascii="宋体" w:hAnsi="宋体" w:eastAsia="宋体" w:cs="宋体"/>
                <w:bCs/>
                <w:color w:val="000000" w:themeColor="text1"/>
                <w:sz w:val="21"/>
                <w:szCs w:val="21"/>
                <w:lang w:eastAsia="zh-CN"/>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湘潭具自然资源局</w:t>
            </w:r>
          </w:p>
        </w:tc>
      </w:tr>
      <w:tr w14:paraId="2986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64"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58E2649E">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p>
        </w:tc>
        <w:tc>
          <w:tcPr>
            <w:tcW w:w="2539" w:type="dxa"/>
            <w:tcBorders>
              <w:top w:val="single" w:color="auto" w:sz="4" w:space="0"/>
              <w:left w:val="single" w:color="auto" w:sz="4" w:space="0"/>
              <w:bottom w:val="single" w:color="auto" w:sz="4" w:space="0"/>
              <w:right w:val="single" w:color="auto" w:sz="4" w:space="0"/>
            </w:tcBorders>
            <w:noWrap w:val="0"/>
            <w:vAlign w:val="center"/>
          </w:tcPr>
          <w:p w14:paraId="4CBB7F6E">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2022年度耕地资源质量分类年度更新与监测</w:t>
            </w:r>
          </w:p>
        </w:tc>
        <w:tc>
          <w:tcPr>
            <w:tcW w:w="3788" w:type="dxa"/>
            <w:tcBorders>
              <w:top w:val="single" w:color="auto" w:sz="4" w:space="0"/>
              <w:left w:val="single" w:color="auto" w:sz="4" w:space="0"/>
              <w:bottom w:val="single" w:color="auto" w:sz="4" w:space="0"/>
              <w:right w:val="single" w:color="auto" w:sz="4" w:space="0"/>
            </w:tcBorders>
            <w:noWrap w:val="0"/>
            <w:vAlign w:val="center"/>
          </w:tcPr>
          <w:p w14:paraId="3103CDD2">
            <w:pPr>
              <w:spacing w:line="240" w:lineRule="exact"/>
              <w:ind w:right="-105" w:rightChars="0"/>
              <w:jc w:val="center"/>
              <w:rPr>
                <w:rFonts w:hint="eastAsia" w:ascii="宋体" w:hAnsi="宋体" w:eastAsia="宋体" w:cs="宋体"/>
                <w:i w:val="0"/>
                <w:iCs w:val="0"/>
                <w:caps w:val="0"/>
                <w:color w:val="000000" w:themeColor="text1"/>
                <w:spacing w:val="15"/>
                <w:sz w:val="21"/>
                <w:szCs w:val="21"/>
                <w:lang w:eastAsia="zh-CN"/>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湘乡 作业内容：湘乡市2022年度耕地资源质量分类年度更新与监测项目：以2021年耕地资源质量分类成果，以及2022年度国土变更调查成果为基础，结合2022年度所有土地整治、高标准农田建设等项目竣工验收资料，开展2022年度耕地资源质量分类年度更新与监测工作，生成2022年度耕地资源质量分类年度更新数据包。更新耕地资源质量分类数据库，建立耕地资源质量分类监测数据库，形成耕地资源质量分类年度更新与监测分析报告</w:t>
            </w:r>
            <w:r>
              <w:rPr>
                <w:rFonts w:hint="eastAsia" w:ascii="宋体" w:hAnsi="宋体" w:cs="宋体"/>
                <w:i w:val="0"/>
                <w:iCs w:val="0"/>
                <w:caps w:val="0"/>
                <w:color w:val="000000" w:themeColor="text1"/>
                <w:spacing w:val="15"/>
                <w:sz w:val="21"/>
                <w:szCs w:val="21"/>
                <w:shd w:val="clear" w:fill="FFFFFF"/>
                <w:lang w:eastAsia="zh-CN"/>
                <w14:textFill>
                  <w14:solidFill>
                    <w14:schemeClr w14:val="tx1"/>
                  </w14:solidFill>
                </w14:textFill>
              </w:rPr>
              <w:t>。</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36B93DBB">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界线与不动产测绘</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0A5DF1AB">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22.9800</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7BD41353">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DFDFE"/>
                <w14:textFill>
                  <w14:solidFill>
                    <w14:schemeClr w14:val="tx1"/>
                  </w14:solidFill>
                </w14:textFill>
              </w:rPr>
              <w:t>2023</w:t>
            </w:r>
            <w:r>
              <w:rPr>
                <w:rFonts w:hint="eastAsia" w:ascii="宋体" w:hAnsi="宋体" w:eastAsia="宋体" w:cs="宋体"/>
                <w:i w:val="0"/>
                <w:iCs w:val="0"/>
                <w:caps w:val="0"/>
                <w:color w:val="000000" w:themeColor="text1"/>
                <w:spacing w:val="15"/>
                <w:sz w:val="21"/>
                <w:szCs w:val="21"/>
                <w:shd w:val="clear" w:fill="FDFDFE"/>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DFDFE"/>
                <w14:textFill>
                  <w14:solidFill>
                    <w14:schemeClr w14:val="tx1"/>
                  </w14:solidFill>
                </w14:textFill>
              </w:rPr>
              <w:t>12</w:t>
            </w:r>
            <w:r>
              <w:rPr>
                <w:rFonts w:hint="eastAsia" w:ascii="宋体" w:hAnsi="宋体" w:eastAsia="宋体" w:cs="宋体"/>
                <w:i w:val="0"/>
                <w:iCs w:val="0"/>
                <w:caps w:val="0"/>
                <w:color w:val="000000" w:themeColor="text1"/>
                <w:spacing w:val="15"/>
                <w:sz w:val="21"/>
                <w:szCs w:val="21"/>
                <w:shd w:val="clear" w:fill="FDFDFE"/>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DFDFE"/>
                <w14:textFill>
                  <w14:solidFill>
                    <w14:schemeClr w14:val="tx1"/>
                  </w14:solidFill>
                </w14:textFill>
              </w:rPr>
              <w:t>30</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3626A14F">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湘乡市自然诸理局</w:t>
            </w:r>
          </w:p>
        </w:tc>
      </w:tr>
      <w:tr w14:paraId="4362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4A4EB71E">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539" w:type="dxa"/>
            <w:tcBorders>
              <w:top w:val="single" w:color="auto" w:sz="4" w:space="0"/>
              <w:left w:val="single" w:color="auto" w:sz="4" w:space="0"/>
              <w:bottom w:val="single" w:color="auto" w:sz="4" w:space="0"/>
              <w:right w:val="single" w:color="auto" w:sz="4" w:space="0"/>
            </w:tcBorders>
            <w:noWrap w:val="0"/>
            <w:vAlign w:val="center"/>
          </w:tcPr>
          <w:p w14:paraId="2F153AD9">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湘乡市田长制公示牌采购项目</w:t>
            </w:r>
          </w:p>
        </w:tc>
        <w:tc>
          <w:tcPr>
            <w:tcW w:w="3788" w:type="dxa"/>
            <w:tcBorders>
              <w:top w:val="single" w:color="auto" w:sz="4" w:space="0"/>
              <w:left w:val="single" w:color="auto" w:sz="4" w:space="0"/>
              <w:bottom w:val="single" w:color="auto" w:sz="4" w:space="0"/>
              <w:right w:val="single" w:color="auto" w:sz="4" w:space="0"/>
            </w:tcBorders>
            <w:noWrap w:val="0"/>
            <w:vAlign w:val="center"/>
          </w:tcPr>
          <w:p w14:paraId="774F9C14">
            <w:pPr>
              <w:spacing w:line="240" w:lineRule="exact"/>
              <w:ind w:right="-105" w:rightChars="0"/>
              <w:jc w:val="center"/>
              <w:rPr>
                <w:rFonts w:hint="eastAsia" w:ascii="宋体" w:hAnsi="宋体" w:eastAsia="宋体" w:cs="宋体"/>
                <w:i w:val="0"/>
                <w:iCs w:val="0"/>
                <w:caps w:val="0"/>
                <w:color w:val="000000" w:themeColor="text1"/>
                <w:spacing w:val="15"/>
                <w:sz w:val="21"/>
                <w:szCs w:val="21"/>
                <w:lang w:eastAsia="zh-CN"/>
                <w14:textFill>
                  <w14:solidFill>
                    <w14:schemeClr w14:val="tx1"/>
                  </w14:solidFill>
                </w14:textFill>
              </w:rPr>
            </w:pPr>
            <w:r>
              <w:rPr>
                <w:rFonts w:hint="eastAsia" w:ascii="宋体" w:hAnsi="宋体" w:eastAsia="宋体" w:cs="宋体"/>
                <w:i w:val="0"/>
                <w:iCs w:val="0"/>
                <w:caps w:val="0"/>
                <w:color w:val="000000" w:themeColor="text1"/>
                <w:spacing w:val="15"/>
                <w:sz w:val="21"/>
                <w:szCs w:val="21"/>
                <w14:textFill>
                  <w14:solidFill>
                    <w14:schemeClr w14:val="tx1"/>
                  </w14:solidFill>
                </w14:textFill>
              </w:rPr>
              <w:t>湘乡 作业内容： （1）收集湘乡市2022年国土变更调查数据成果、永久基本农田数据、农村集体土地所有权确权数据等资料，进行数据转换和内业分析整理，提取湘乡市国土变更调查数据中最新耕地图斑； （2）与最新行政区划数据和农村集体土地所有权确权数据中的村组数据进行套合分析，确定各级田长制的责任范围，制作田长责任范围底图，同时根据宣传需要在各乡镇过境国道、省道、高速公路出入口位置初步确定乡级公示牌位置； （3）根据田长制网格底图进行外业核查，确保网格范围符合耕地保护实际需求，方便各级田长合理管理网格范围内耕地，外业核查过程中同时确定各级田长制公示牌树立位置； （4）结合内外业成果，制作湘乡市田长制工作成果，包括以耕地图斑为基础赋值各级田长姓名、网格面积、四至范围、基本农田面积等属性字段的数据库、湘乡市田长制实施方案文本、各级田长制格网图件、各类统计附表等</w:t>
            </w:r>
            <w:r>
              <w:rPr>
                <w:rFonts w:hint="eastAsia" w:ascii="宋体" w:hAnsi="宋体" w:cs="宋体"/>
                <w:i w:val="0"/>
                <w:iCs w:val="0"/>
                <w:caps w:val="0"/>
                <w:color w:val="000000" w:themeColor="text1"/>
                <w:spacing w:val="15"/>
                <w:sz w:val="21"/>
                <w:szCs w:val="21"/>
                <w:lang w:eastAsia="zh-CN"/>
                <w14:textFill>
                  <w14:solidFill>
                    <w14:schemeClr w14:val="tx1"/>
                  </w14:solidFill>
                </w14:textFill>
              </w:rPr>
              <w:t>。</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20932ECF">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CFCFE"/>
                <w14:textFill>
                  <w14:solidFill>
                    <w14:schemeClr w14:val="tx1"/>
                  </w14:solidFill>
                </w14:textFill>
              </w:rPr>
              <w:t>界线与不动产测绘</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5E98A94C">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26.7520</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6790AFC0">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2024</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-0</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8</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16</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06839271">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湘乡市自然资源局</w:t>
            </w:r>
          </w:p>
        </w:tc>
      </w:tr>
      <w:tr w14:paraId="213A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4"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657BFE6A">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539" w:type="dxa"/>
            <w:tcBorders>
              <w:top w:val="single" w:color="auto" w:sz="4" w:space="0"/>
              <w:left w:val="single" w:color="auto" w:sz="4" w:space="0"/>
              <w:bottom w:val="single" w:color="auto" w:sz="4" w:space="0"/>
              <w:right w:val="single" w:color="auto" w:sz="4" w:space="0"/>
            </w:tcBorders>
            <w:noWrap w:val="0"/>
            <w:vAlign w:val="center"/>
          </w:tcPr>
          <w:p w14:paraId="565D1D76">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14:textFill>
                  <w14:solidFill>
                    <w14:schemeClr w14:val="tx1"/>
                  </w14:solidFill>
                </w14:textFill>
              </w:rPr>
              <w:t>雨花．韶苑（一期）多测合一测绘目</w:t>
            </w:r>
          </w:p>
        </w:tc>
        <w:tc>
          <w:tcPr>
            <w:tcW w:w="3788" w:type="dxa"/>
            <w:tcBorders>
              <w:top w:val="single" w:color="auto" w:sz="4" w:space="0"/>
              <w:left w:val="single" w:color="auto" w:sz="4" w:space="0"/>
              <w:bottom w:val="single" w:color="auto" w:sz="4" w:space="0"/>
              <w:right w:val="single" w:color="auto" w:sz="4" w:space="0"/>
            </w:tcBorders>
            <w:noWrap w:val="0"/>
            <w:vAlign w:val="center"/>
          </w:tcPr>
          <w:p w14:paraId="6140285D">
            <w:pPr>
              <w:spacing w:line="240" w:lineRule="exact"/>
              <w:ind w:right="-105" w:rightChars="0"/>
              <w:jc w:val="center"/>
              <w:rPr>
                <w:rFonts w:hint="eastAsia" w:ascii="宋体" w:hAnsi="宋体" w:eastAsia="宋体" w:cs="宋体"/>
                <w:i w:val="0"/>
                <w:iCs w:val="0"/>
                <w:caps w:val="0"/>
                <w:color w:val="000000" w:themeColor="text1"/>
                <w:spacing w:val="15"/>
                <w:sz w:val="21"/>
                <w:szCs w:val="21"/>
                <w:shd w:val="clear" w:fill="FFFFFF"/>
                <w:lang w:eastAsia="zh-CN"/>
                <w14:textFill>
                  <w14:solidFill>
                    <w14:schemeClr w14:val="tx1"/>
                  </w14:solidFill>
                </w14:textFill>
              </w:rPr>
            </w:pPr>
            <w:r>
              <w:rPr>
                <w:rFonts w:hint="eastAsia" w:ascii="宋体" w:hAnsi="宋体" w:eastAsia="宋体" w:cs="宋体"/>
                <w:i w:val="0"/>
                <w:iCs w:val="0"/>
                <w:caps w:val="0"/>
                <w:color w:val="000000" w:themeColor="text1"/>
                <w:spacing w:val="15"/>
                <w:sz w:val="21"/>
                <w:szCs w:val="21"/>
                <w14:textFill>
                  <w14:solidFill>
                    <w14:schemeClr w14:val="tx1"/>
                  </w14:solidFill>
                </w14:textFill>
              </w:rPr>
              <w:t>湘潭市韶山高新区新杨路以南</w:t>
            </w:r>
            <w:r>
              <w:rPr>
                <w:rFonts w:hint="eastAsia" w:ascii="宋体" w:hAnsi="宋体" w:eastAsia="宋体" w:cs="宋体"/>
                <w:i w:val="0"/>
                <w:iCs w:val="0"/>
                <w:caps w:val="0"/>
                <w:color w:val="000000" w:themeColor="text1"/>
                <w:spacing w:val="15"/>
                <w:sz w:val="21"/>
                <w:szCs w:val="21"/>
                <w:lang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14:textFill>
                  <w14:solidFill>
                    <w14:schemeClr w14:val="tx1"/>
                  </w14:solidFill>
                </w14:textFill>
              </w:rPr>
              <w:t>东方红路西项目内容：规划竣工测量、房产实 测、 地籍（ 国 土 竣 工 ）测量</w:t>
            </w:r>
            <w:r>
              <w:rPr>
                <w:rFonts w:hint="eastAsia" w:ascii="宋体" w:hAnsi="宋体" w:cs="宋体"/>
                <w:i w:val="0"/>
                <w:iCs w:val="0"/>
                <w:caps w:val="0"/>
                <w:color w:val="000000" w:themeColor="text1"/>
                <w:spacing w:val="15"/>
                <w:sz w:val="21"/>
                <w:szCs w:val="21"/>
                <w:lang w:eastAsia="zh-CN"/>
                <w14:textFill>
                  <w14:solidFill>
                    <w14:schemeClr w14:val="tx1"/>
                  </w14:solidFill>
                </w14:textFill>
              </w:rPr>
              <w:t>。</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01E8FC0E">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工程测量</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38FC30FC">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22.1559</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13B702D1">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2023</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10</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24</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558CFD60">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湖南南庭投资有限公司韶山分公司</w:t>
            </w:r>
          </w:p>
        </w:tc>
      </w:tr>
      <w:tr w14:paraId="1440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9"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6052915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539" w:type="dxa"/>
            <w:tcBorders>
              <w:top w:val="single" w:color="auto" w:sz="4" w:space="0"/>
              <w:left w:val="single" w:color="auto" w:sz="4" w:space="0"/>
              <w:bottom w:val="single" w:color="auto" w:sz="4" w:space="0"/>
              <w:right w:val="single" w:color="auto" w:sz="4" w:space="0"/>
            </w:tcBorders>
            <w:noWrap w:val="0"/>
            <w:vAlign w:val="center"/>
          </w:tcPr>
          <w:p w14:paraId="5DCB0C8F">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14:textFill>
                  <w14:solidFill>
                    <w14:schemeClr w14:val="tx1"/>
                  </w14:solidFill>
                </w14:textFill>
              </w:rPr>
              <w:t>湘潭县自然资源局耕地后备资源调查和标注“恢复属性”地类分析评价项目</w:t>
            </w:r>
          </w:p>
        </w:tc>
        <w:tc>
          <w:tcPr>
            <w:tcW w:w="3788" w:type="dxa"/>
            <w:tcBorders>
              <w:top w:val="single" w:color="auto" w:sz="4" w:space="0"/>
              <w:left w:val="single" w:color="auto" w:sz="4" w:space="0"/>
              <w:bottom w:val="single" w:color="auto" w:sz="4" w:space="0"/>
              <w:right w:val="single" w:color="auto" w:sz="4" w:space="0"/>
            </w:tcBorders>
            <w:noWrap w:val="0"/>
            <w:vAlign w:val="center"/>
          </w:tcPr>
          <w:p w14:paraId="2EF472E9">
            <w:pPr>
              <w:spacing w:line="240" w:lineRule="exact"/>
              <w:ind w:right="-105" w:rightChars="0"/>
              <w:jc w:val="center"/>
              <w:rPr>
                <w:rFonts w:hint="eastAsia" w:ascii="宋体" w:hAnsi="宋体" w:eastAsia="宋体" w:cs="宋体"/>
                <w:i w:val="0"/>
                <w:iCs w:val="0"/>
                <w:caps w:val="0"/>
                <w:color w:val="000000" w:themeColor="text1"/>
                <w:spacing w:val="15"/>
                <w:sz w:val="21"/>
                <w:szCs w:val="21"/>
                <w:shd w:val="clear" w:fill="FFFFFF"/>
                <w:lang w:eastAsia="zh-CN"/>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湘潭县 作业内容： （1）耕地后备资源调查 乙方应以第三次全国国土调查和2020年度国土变更调查成果为基础，以湘潭具范围内其他草地、沙地、裸土地和果园、茶园、其他园地、灌木林地、其他林地、坑塘水面（废弃）、废弃采矿用地共十类图斑为调查对象，分生态条件 地形坡度、年积温、年降水景、土壤质地、土绑重金属污染状况、盐清化程度、土壤H值、土层厚度、耕作便利度、灌溉条件11项指标，逐图斑开展调查，并以县为单位建立耕地后备资源调查数据库，编制耕地后备资源调查分析报告。 （2）标注“恢复属性”地类分析评价 以湘潭县范围内2020年度国土变更调查成果中标注“即可恢复”和“工程恢复”属性的图斑为对象，综合考虑生态保护红线、城镇开发边界、地形坡度等条件，剔除不适合作为恢复对象的图斑，分植被状况、规模化种植程度、灌溉条件3项指标，逐地块开展调查评价，明确标注“恢复属性”地类恢复为耕地的时序安排，以县为单位建立标注“恢复属性”地类分析评价数据库，编制标注“恢复属性”地类分析评价报告</w:t>
            </w:r>
            <w:r>
              <w:rPr>
                <w:rFonts w:hint="eastAsia" w:ascii="宋体" w:hAnsi="宋体" w:cs="宋体"/>
                <w:i w:val="0"/>
                <w:iCs w:val="0"/>
                <w:caps w:val="0"/>
                <w:color w:val="000000" w:themeColor="text1"/>
                <w:spacing w:val="15"/>
                <w:sz w:val="21"/>
                <w:szCs w:val="21"/>
                <w:shd w:val="clear" w:fill="FFFFFF"/>
                <w:lang w:eastAsia="zh-CN"/>
                <w14:textFill>
                  <w14:solidFill>
                    <w14:schemeClr w14:val="tx1"/>
                  </w14:solidFill>
                </w14:textFill>
              </w:rPr>
              <w:t>。</w:t>
            </w:r>
            <w:bookmarkStart w:id="0" w:name="_GoBack"/>
            <w:bookmarkEnd w:id="0"/>
          </w:p>
        </w:tc>
        <w:tc>
          <w:tcPr>
            <w:tcW w:w="1777" w:type="dxa"/>
            <w:tcBorders>
              <w:top w:val="single" w:color="auto" w:sz="4" w:space="0"/>
              <w:left w:val="single" w:color="auto" w:sz="4" w:space="0"/>
              <w:bottom w:val="single" w:color="auto" w:sz="4" w:space="0"/>
              <w:right w:val="single" w:color="auto" w:sz="4" w:space="0"/>
            </w:tcBorders>
            <w:noWrap w:val="0"/>
            <w:vAlign w:val="center"/>
          </w:tcPr>
          <w:p w14:paraId="5C9514A0">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工程测量</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7E48FF99">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79.8000</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5FD3635F">
            <w:pPr>
              <w:jc w:val="center"/>
              <w:rPr>
                <w:rFonts w:hint="eastAsia" w:ascii="宋体" w:hAnsi="宋体" w:eastAsia="宋体" w:cs="宋体"/>
                <w:i w:val="0"/>
                <w:iCs w:val="0"/>
                <w:caps w:val="0"/>
                <w:color w:val="000000" w:themeColor="text1"/>
                <w:spacing w:val="15"/>
                <w:sz w:val="21"/>
                <w:szCs w:val="21"/>
                <w:shd w:val="clear" w:fill="FDFDFE"/>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2023</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10</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22</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2C4F2C4A">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湘潭县自然资源局</w:t>
            </w:r>
          </w:p>
        </w:tc>
      </w:tr>
      <w:tr w14:paraId="761F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4024873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539" w:type="dxa"/>
            <w:tcBorders>
              <w:top w:val="single" w:color="auto" w:sz="4" w:space="0"/>
              <w:left w:val="single" w:color="auto" w:sz="4" w:space="0"/>
              <w:bottom w:val="single" w:color="auto" w:sz="4" w:space="0"/>
              <w:right w:val="single" w:color="auto" w:sz="4" w:space="0"/>
            </w:tcBorders>
            <w:noWrap w:val="0"/>
            <w:vAlign w:val="center"/>
          </w:tcPr>
          <w:p w14:paraId="09CCBBD2">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湘乡市翻江风电场1：2000地形图测绘</w:t>
            </w:r>
          </w:p>
        </w:tc>
        <w:tc>
          <w:tcPr>
            <w:tcW w:w="3788" w:type="dxa"/>
            <w:tcBorders>
              <w:top w:val="single" w:color="auto" w:sz="4" w:space="0"/>
              <w:left w:val="single" w:color="auto" w:sz="4" w:space="0"/>
              <w:bottom w:val="single" w:color="auto" w:sz="4" w:space="0"/>
              <w:right w:val="single" w:color="auto" w:sz="4" w:space="0"/>
            </w:tcBorders>
            <w:noWrap w:val="0"/>
            <w:vAlign w:val="center"/>
          </w:tcPr>
          <w:p w14:paraId="06209F94">
            <w:pPr>
              <w:spacing w:line="240" w:lineRule="exact"/>
              <w:ind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湘乡 作业内容： （1）1:2000倾斜航空摄影 （2）像片控制点测量 （3）裸眼三维立体采集 基于实景三维模型，采用裸眼三维立体测图方式，在实景三维模型上勾绘建（构）筑物、地形地物等各类地形图要素，同步附录属性值。 （4）外业调绘与补测 利用内业采集数据套合数字正射影像调绘内业立体采集时不能判别、遮挡较小的地物及地物的属性信息，调绘已现状为准。对新增的道路、房屋、独立地物及遮挡较多的地物进行补测，补测采用全野1 外解析法数字化测图方式进行。 （5）编辑成图 利用裸眼三维立体测图、全野外解析法数字化测图和地形图修补测数据，依据《湖南省1:2000地形图数据规范》、《国家基本比例尺地形图图式 第1部分：1:500 1:10001:2000 地形图图式》（GB/T20257.1-2017）等相关技术标准，内业编辑合格的地形图。 （6）数字线划图制作 数字线划图制作采用图库一体编辑软件以块图形式进行编辑，通过软件的数据入库功能完成对数据的格式转换，最终生成数字线划图数据</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69652B90">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DFDFE"/>
                <w14:textFill>
                  <w14:solidFill>
                    <w14:schemeClr w14:val="tx1"/>
                  </w14:solidFill>
                </w14:textFill>
              </w:rPr>
              <w:t>工程测量</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51CCBE67">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31.2900</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2ADEC1C8">
            <w:pPr>
              <w:jc w:val="center"/>
              <w:rPr>
                <w:rFonts w:hint="eastAsia" w:ascii="宋体" w:hAnsi="宋体" w:eastAsia="宋体" w:cs="宋体"/>
                <w:i w:val="0"/>
                <w:iCs w:val="0"/>
                <w:caps w:val="0"/>
                <w:color w:val="000000" w:themeColor="text1"/>
                <w:spacing w:val="15"/>
                <w:sz w:val="21"/>
                <w:szCs w:val="21"/>
                <w:shd w:val="clear" w:fill="FDFDFE"/>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2023</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-0</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5</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22</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41B24265">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湖南新华水利电力有限公司</w:t>
            </w:r>
          </w:p>
        </w:tc>
      </w:tr>
      <w:tr w14:paraId="2E89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1E0A873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539" w:type="dxa"/>
            <w:tcBorders>
              <w:top w:val="single" w:color="auto" w:sz="4" w:space="0"/>
              <w:left w:val="single" w:color="auto" w:sz="4" w:space="0"/>
              <w:bottom w:val="single" w:color="auto" w:sz="4" w:space="0"/>
              <w:right w:val="single" w:color="auto" w:sz="4" w:space="0"/>
            </w:tcBorders>
            <w:noWrap w:val="0"/>
            <w:vAlign w:val="center"/>
          </w:tcPr>
          <w:p w14:paraId="765284F1">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14:textFill>
                  <w14:solidFill>
                    <w14:schemeClr w14:val="tx1"/>
                  </w14:solidFill>
                </w14:textFill>
              </w:rPr>
              <w:t>湘乡市不动产林权数据整合项目</w:t>
            </w:r>
          </w:p>
        </w:tc>
        <w:tc>
          <w:tcPr>
            <w:tcW w:w="3788" w:type="dxa"/>
            <w:tcBorders>
              <w:top w:val="single" w:color="auto" w:sz="4" w:space="0"/>
              <w:left w:val="single" w:color="auto" w:sz="4" w:space="0"/>
              <w:bottom w:val="single" w:color="auto" w:sz="4" w:space="0"/>
              <w:right w:val="single" w:color="auto" w:sz="4" w:space="0"/>
            </w:tcBorders>
            <w:noWrap w:val="0"/>
            <w:vAlign w:val="center"/>
          </w:tcPr>
          <w:p w14:paraId="320CE246">
            <w:pPr>
              <w:spacing w:line="240" w:lineRule="exact"/>
              <w:ind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14:textFill>
                  <w14:solidFill>
                    <w14:schemeClr w14:val="tx1"/>
                  </w14:solidFill>
                </w14:textFill>
              </w:rPr>
              <w:t>韶山 作业内容： 1、在林权数据库基础上根据林权扫描件信息内容补充完善林权登记信忽，对同时有矢量图有档案，但无登记信息的林权数据进行补录。 2、按《不动产登记数据库标准》对林权登记信息进行整合，形成全面、完整、准确的不动产登记数据库。 3、根据湘乡市二调、三调和历年建设用地报批红线对林权失量数据进行图形整合，根据林业林地一张图数据库对林权夫量数据进行属性整合（但需要通过外业调查或经双方认定属内业复杂处理方式的属性处理工作不在此范围内，如有需要双方另行商定）。 4、按照不动产登记平台要求对林权失量数据库进行规范整合并落宗，将图属进行关联。 5、按国家不动产数据汇交要求，按时完成林权数据的汇交。 6、将进行数据整合及关联的登记信息和失量数据导入到不动产登记平台。 使林权整合数据成果能满足日常不动产业务登记需求。集空间、属性于一体，相互关联的数据成果</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7E6DECF6">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界线与不动产测绘</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29862F60">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75.2580</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3DA8EB1B">
            <w:pPr>
              <w:jc w:val="center"/>
              <w:rPr>
                <w:rFonts w:hint="eastAsia" w:ascii="宋体" w:hAnsi="宋体" w:eastAsia="宋体" w:cs="宋体"/>
                <w:i w:val="0"/>
                <w:iCs w:val="0"/>
                <w:caps w:val="0"/>
                <w:color w:val="000000" w:themeColor="text1"/>
                <w:spacing w:val="15"/>
                <w:sz w:val="21"/>
                <w:szCs w:val="21"/>
                <w:shd w:val="clear" w:fill="FDFDFE"/>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2022</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12</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-0</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0F86BC83">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湘乡市自然资源局</w:t>
            </w:r>
          </w:p>
        </w:tc>
      </w:tr>
      <w:tr w14:paraId="5B55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5B0E62BE">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8</w:t>
            </w:r>
          </w:p>
        </w:tc>
        <w:tc>
          <w:tcPr>
            <w:tcW w:w="2539" w:type="dxa"/>
            <w:tcBorders>
              <w:top w:val="single" w:color="auto" w:sz="4" w:space="0"/>
              <w:left w:val="single" w:color="auto" w:sz="4" w:space="0"/>
              <w:bottom w:val="single" w:color="auto" w:sz="4" w:space="0"/>
              <w:right w:val="single" w:color="auto" w:sz="4" w:space="0"/>
            </w:tcBorders>
            <w:noWrap w:val="0"/>
            <w:vAlign w:val="center"/>
          </w:tcPr>
          <w:p w14:paraId="501B7B48">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湘乡市自然资源局2021年度国土变更调查及耕地质量分类年度更新与监测项目</w:t>
            </w:r>
          </w:p>
        </w:tc>
        <w:tc>
          <w:tcPr>
            <w:tcW w:w="3788" w:type="dxa"/>
            <w:tcBorders>
              <w:top w:val="single" w:color="auto" w:sz="4" w:space="0"/>
              <w:left w:val="single" w:color="auto" w:sz="4" w:space="0"/>
              <w:bottom w:val="single" w:color="auto" w:sz="4" w:space="0"/>
              <w:right w:val="single" w:color="auto" w:sz="4" w:space="0"/>
            </w:tcBorders>
            <w:noWrap w:val="0"/>
            <w:vAlign w:val="center"/>
          </w:tcPr>
          <w:p w14:paraId="7C662ECB">
            <w:pPr>
              <w:spacing w:line="240" w:lineRule="exact"/>
              <w:ind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湘乡 作业内容：在第三次国土调查（以下简称“三调”）统一时点调查成果基础上，以2021 年度为周期，2021年12月 31 日为标准时点，利用国家下发的遥感监测图斑、省级下发的国土变更调查遥感监测图斑，统筹利用现有资料，提取地类变化信息，结合有关专项监测及自然资源管理成果，组织开展2021年度变更调查工作及耕地质量分类年度更新与监测</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48ACCD02">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界线与不动产测绘</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37A91B12">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14:textFill>
                  <w14:solidFill>
                    <w14:schemeClr w14:val="tx1"/>
                  </w14:solidFill>
                </w14:textFill>
              </w:rPr>
              <w:t>78.8325</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255FDC4B">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2023</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-0</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6</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29</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2CD227F1">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湘乡市自然资源局</w:t>
            </w:r>
          </w:p>
        </w:tc>
      </w:tr>
      <w:tr w14:paraId="7CBC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64942DFA">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9</w:t>
            </w:r>
          </w:p>
        </w:tc>
        <w:tc>
          <w:tcPr>
            <w:tcW w:w="2539" w:type="dxa"/>
            <w:tcBorders>
              <w:top w:val="single" w:color="auto" w:sz="4" w:space="0"/>
              <w:left w:val="single" w:color="auto" w:sz="4" w:space="0"/>
              <w:bottom w:val="single" w:color="auto" w:sz="4" w:space="0"/>
              <w:right w:val="single" w:color="auto" w:sz="4" w:space="0"/>
            </w:tcBorders>
            <w:noWrap w:val="0"/>
            <w:vAlign w:val="center"/>
          </w:tcPr>
          <w:p w14:paraId="5A957135">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2022年度省“月清三地”土地卫片技术服务项目</w:t>
            </w:r>
          </w:p>
        </w:tc>
        <w:tc>
          <w:tcPr>
            <w:tcW w:w="3788" w:type="dxa"/>
            <w:tcBorders>
              <w:top w:val="single" w:color="auto" w:sz="4" w:space="0"/>
              <w:left w:val="single" w:color="auto" w:sz="4" w:space="0"/>
              <w:bottom w:val="single" w:color="auto" w:sz="4" w:space="0"/>
              <w:right w:val="single" w:color="auto" w:sz="4" w:space="0"/>
            </w:tcBorders>
            <w:noWrap w:val="0"/>
            <w:vAlign w:val="center"/>
          </w:tcPr>
          <w:p w14:paraId="25994FCD">
            <w:pPr>
              <w:spacing w:line="240" w:lineRule="exact"/>
              <w:ind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韶山 作业内容： 1、根据湖南省自然资源厅下发的韶山市境内的省“月清三地” 疑似违法用地图斑进行内业比对、实地外业核查、举证等工作。 2、根据韶山市境内省“月清三地”疑似违法用地图斑，利用 Arcgis，cad等软件与韶山市土地利用现状图、规划图、用地红线图 进行套合，以及现场核查、举证等资料对图斑的合法性进行判定。 3、根据图斑进行内业比对、外业核查、系统举证、数据套合等 资料进行系统填报。 4、提供技术服务人员常驻韶山市自然资源局，由执法大队负责 日常管理，配合开展日常工作</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41D487A0">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工程测量</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57FA71B2">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14:textFill>
                  <w14:solidFill>
                    <w14:schemeClr w14:val="tx1"/>
                  </w14:solidFill>
                </w14:textFill>
              </w:rPr>
              <w:t>20.0000</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06733D94">
            <w:pPr>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2023</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-0</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2</w:t>
            </w:r>
            <w:r>
              <w:rPr>
                <w:rFonts w:hint="eastAsia" w:ascii="宋体" w:hAnsi="宋体" w:eastAsia="宋体" w:cs="宋体"/>
                <w:i w:val="0"/>
                <w:iCs w:val="0"/>
                <w:caps w:val="0"/>
                <w:color w:val="000000" w:themeColor="text1"/>
                <w:spacing w:val="15"/>
                <w:sz w:val="21"/>
                <w:szCs w:val="21"/>
                <w:shd w:val="clear" w:fill="FFFFFF"/>
                <w:lang w:val="en-US" w:eastAsia="zh-CN"/>
                <w14:textFill>
                  <w14:solidFill>
                    <w14:schemeClr w14:val="tx1"/>
                  </w14:solidFill>
                </w14:textFill>
              </w:rPr>
              <w:t>-0</w:t>
            </w: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5</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3E9C7F84">
            <w:pPr>
              <w:spacing w:line="240" w:lineRule="exact"/>
              <w:ind w:left="-105" w:leftChars="0" w:right="-105" w:rightChars="0"/>
              <w:jc w:val="cente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1"/>
                <w:szCs w:val="21"/>
                <w:shd w:val="clear" w:fill="FFFFFF"/>
                <w14:textFill>
                  <w14:solidFill>
                    <w14:schemeClr w14:val="tx1"/>
                  </w14:solidFill>
                </w14:textFill>
              </w:rPr>
              <w:t>部山市自然资深局</w:t>
            </w:r>
          </w:p>
        </w:tc>
      </w:tr>
    </w:tbl>
    <w:p w14:paraId="4307086A">
      <w:pPr>
        <w:rPr>
          <w:rFonts w:hint="default" w:ascii="Times New Roman" w:hAnsi="Times New Roman" w:cs="Times New Roman"/>
        </w:rPr>
      </w:pPr>
    </w:p>
    <w:p w14:paraId="18DC77F8">
      <w:pPr>
        <w:rPr>
          <w:rFonts w:hint="default" w:ascii="Times New Roman" w:hAnsi="Times New Roman" w:cs="Times New Roman"/>
        </w:rPr>
      </w:pPr>
    </w:p>
    <w:p w14:paraId="2715A534">
      <w:pPr>
        <w:rPr>
          <w:rFonts w:hint="default" w:ascii="Times New Roman" w:hAnsi="Times New Roman" w:cs="Times New Roman"/>
        </w:rPr>
      </w:pPr>
    </w:p>
    <w:p w14:paraId="3F7B51DE">
      <w:pPr>
        <w:rPr>
          <w:rFonts w:hint="default" w:ascii="Times New Roman" w:hAnsi="Times New Roman" w:cs="Times New Roman"/>
        </w:rPr>
      </w:pPr>
    </w:p>
    <w:p w14:paraId="61EEBBDE">
      <w:pPr>
        <w:jc w:val="both"/>
        <w:rPr>
          <w:rFonts w:hint="eastAsia" w:ascii="方正小标宋_GBK" w:hAnsi="方正小标宋_GBK" w:eastAsia="方正小标宋_GBK" w:cs="方正小标宋_GBK"/>
          <w:b w:val="0"/>
          <w:bCs w:val="0"/>
          <w:sz w:val="36"/>
          <w:szCs w:val="36"/>
          <w:lang w:bidi="ar"/>
        </w:rPr>
      </w:pPr>
    </w:p>
    <w:p w14:paraId="4512F4DC">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561E213C"/>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1288"/>
    <w:rsid w:val="193F0597"/>
    <w:rsid w:val="544B2826"/>
    <w:rsid w:val="57A61288"/>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5323</Words>
  <Characters>5866</Characters>
  <Lines>0</Lines>
  <Paragraphs>0</Paragraphs>
  <TotalTime>28</TotalTime>
  <ScaleCrop>false</ScaleCrop>
  <LinksUpToDate>false</LinksUpToDate>
  <CharactersWithSpaces>5954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2026-09-24T08:40:12Z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