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062EB">
      <w:pPr>
        <w:jc w:val="both"/>
        <w:rPr>
          <w:rFonts w:hint="eastAsia" w:ascii="方正小标宋简体" w:hAnsi="方正小标宋简体" w:eastAsia="方正小标宋简体" w:cs="方正小标宋简体"/>
          <w:b w:val="0"/>
          <w:bCs/>
          <w:sz w:val="48"/>
          <w:szCs w:val="48"/>
          <w:u w:val="single"/>
          <w:lang w:val="en-US" w:eastAsia="zh-CN" w:bidi="ar"/>
        </w:rPr>
      </w:pPr>
    </w:p>
    <w:p w14:paraId="4C63D759">
      <w:pPr>
        <w:jc w:val="both"/>
        <w:rPr>
          <w:rFonts w:hint="eastAsia" w:ascii="方正小标宋简体" w:hAnsi="方正小标宋简体" w:eastAsia="方正小标宋简体" w:cs="方正小标宋简体"/>
          <w:b w:val="0"/>
          <w:bCs/>
          <w:sz w:val="48"/>
          <w:szCs w:val="48"/>
          <w:u w:val="single"/>
          <w:lang w:val="en-US" w:eastAsia="zh-CN" w:bidi="ar"/>
        </w:rPr>
      </w:pPr>
    </w:p>
    <w:p w14:paraId="315443DD">
      <w:pPr>
        <w:jc w:val="both"/>
        <w:rPr>
          <w:rFonts w:hint="eastAsia" w:ascii="方正小标宋简体" w:hAnsi="方正小标宋简体" w:eastAsia="方正小标宋简体" w:cs="方正小标宋简体"/>
          <w:b w:val="0"/>
          <w:bCs/>
          <w:sz w:val="48"/>
          <w:szCs w:val="48"/>
          <w:u w:val="single"/>
          <w:lang w:val="en-US" w:eastAsia="zh-CN" w:bidi="ar"/>
        </w:rPr>
      </w:pPr>
    </w:p>
    <w:p w14:paraId="460534A2">
      <w:pPr>
        <w:ind w:firstLine="960" w:firstLineChars="200"/>
        <w:jc w:val="center"/>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湖南泉欣工程信息有限公司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湖南泉欣工程信息有限公司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民营企业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湖南省长沙县星沙街道开元路社区天华路147号</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彭运兰</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sz w:val="24"/>
                <w:szCs w:val="24"/>
                <w:lang w:val="en-US" w:eastAsia="zh-CN"/>
              </w:rPr>
            </w:pPr>
            <w:r>
              <w:rPr>
                <w:rFonts w:ascii="Tahoma" w:hAnsi="Tahoma" w:eastAsia="Tahoma" w:cs="Tahoma"/>
                <w:i w:val="0"/>
                <w:iCs w:val="0"/>
                <w:caps w:val="0"/>
                <w:color w:val="333333"/>
                <w:spacing w:val="0"/>
                <w:sz w:val="24"/>
                <w:szCs w:val="24"/>
                <w:shd w:val="clear" w:fill="FFFFFF"/>
              </w:rPr>
              <w:t>乙级：工程测量、界线与不动产测绘</w:t>
            </w:r>
          </w:p>
        </w:tc>
      </w:tr>
    </w:tbl>
    <w:p w14:paraId="26B8FDB0">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258294F5">
      <w:pPr>
        <w:jc w:val="both"/>
        <w:rPr>
          <w:rFonts w:hint="eastAsia" w:ascii="方正小标宋_GBK" w:hAnsi="方正小标宋_GBK" w:eastAsia="方正小标宋_GBK" w:cs="方正小标宋_GBK"/>
          <w:b w:val="0"/>
          <w:bCs w:val="0"/>
          <w:sz w:val="36"/>
          <w:szCs w:val="36"/>
          <w:lang w:bidi="ar"/>
        </w:rPr>
      </w:pPr>
    </w:p>
    <w:p w14:paraId="337BBD27">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刘晓洲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spacing w:line="240" w:lineRule="exact"/>
              <w:ind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D83C5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E8A888">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严  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83F2A8">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A07A8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F301296">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56BAB18A">
      <w:pPr>
        <w:rPr>
          <w:rFonts w:hint="default" w:ascii="Times New Roman" w:hAnsi="Times New Roman" w:cs="Times New Roman"/>
        </w:rPr>
      </w:pPr>
    </w:p>
    <w:p w14:paraId="077157E2">
      <w:pPr>
        <w:rPr>
          <w:rFonts w:hint="default" w:ascii="Times New Roman" w:hAnsi="Times New Roman" w:cs="Times New Roman"/>
        </w:rPr>
      </w:pPr>
    </w:p>
    <w:p w14:paraId="73E8ED34">
      <w:pPr>
        <w:rPr>
          <w:rFonts w:hint="default" w:ascii="Times New Roman" w:hAnsi="Times New Roman" w:cs="Times New Roman"/>
        </w:rPr>
      </w:pPr>
    </w:p>
    <w:p w14:paraId="2648CC7D">
      <w:pPr>
        <w:rPr>
          <w:rFonts w:hint="default" w:ascii="Times New Roman" w:hAnsi="Times New Roman" w:cs="Times New Roman"/>
        </w:rPr>
      </w:pPr>
    </w:p>
    <w:p w14:paraId="08EB95BA">
      <w:pPr>
        <w:rPr>
          <w:rFonts w:hint="default" w:ascii="Times New Roman" w:hAnsi="Times New Roman" w:cs="Times New Roman"/>
        </w:rPr>
      </w:pPr>
    </w:p>
    <w:p w14:paraId="5AF1F249">
      <w:pPr>
        <w:rPr>
          <w:rFonts w:hint="default" w:ascii="Times New Roman" w:hAnsi="Times New Roman" w:cs="Times New Roman"/>
        </w:rPr>
      </w:pPr>
    </w:p>
    <w:p w14:paraId="38C8E82D">
      <w:pPr>
        <w:rPr>
          <w:rFonts w:hint="default" w:ascii="Times New Roman" w:hAnsi="Times New Roman" w:cs="Times New Roman"/>
        </w:rPr>
      </w:pPr>
    </w:p>
    <w:p w14:paraId="6CF7BDDD">
      <w:pPr>
        <w:rPr>
          <w:rFonts w:hint="default" w:ascii="Times New Roman" w:hAnsi="Times New Roman" w:cs="Times New Roman"/>
        </w:rPr>
      </w:pPr>
    </w:p>
    <w:p w14:paraId="5C463F58">
      <w:pPr>
        <w:rPr>
          <w:rFonts w:hint="default" w:ascii="Times New Roman" w:hAnsi="Times New Roman" w:cs="Times New Roman"/>
        </w:rPr>
      </w:pPr>
    </w:p>
    <w:p w14:paraId="4A79B73D">
      <w:pPr>
        <w:rPr>
          <w:rFonts w:hint="default" w:ascii="Times New Roman" w:hAnsi="Times New Roman" w:cs="Times New Roman"/>
        </w:rPr>
      </w:pPr>
    </w:p>
    <w:p w14:paraId="78952F61">
      <w:pPr>
        <w:rPr>
          <w:rFonts w:hint="default" w:ascii="Times New Roman" w:hAnsi="Times New Roman" w:cs="Times New Roman"/>
        </w:rPr>
      </w:pPr>
    </w:p>
    <w:p w14:paraId="0CE767B1">
      <w:pPr>
        <w:rPr>
          <w:rFonts w:hint="default" w:ascii="Times New Roman" w:hAnsi="Times New Roman" w:cs="Times New Roman"/>
        </w:rPr>
      </w:pPr>
    </w:p>
    <w:p w14:paraId="2B1EA25D">
      <w:pPr>
        <w:rPr>
          <w:rFonts w:hint="default" w:ascii="Times New Roman" w:hAnsi="Times New Roman" w:cs="Times New Roman"/>
        </w:rPr>
      </w:pPr>
    </w:p>
    <w:p w14:paraId="626CC4F7">
      <w:pPr>
        <w:rPr>
          <w:rFonts w:hint="default" w:ascii="Times New Roman" w:hAnsi="Times New Roman" w:cs="Times New Roman"/>
        </w:rPr>
      </w:pPr>
    </w:p>
    <w:p w14:paraId="42DF92A6">
      <w:pPr>
        <w:rPr>
          <w:rFonts w:hint="default" w:ascii="Times New Roman" w:hAnsi="Times New Roman" w:cs="Times New Roman"/>
        </w:rPr>
      </w:pPr>
    </w:p>
    <w:p w14:paraId="29F19EAA">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初</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11E3E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5D84F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252C65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13D94E">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40607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E5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1E08D1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D373DC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肖婷婷</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5224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BCFD8B2">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B69FF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4F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0628AB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2A1D1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陈佳俊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AE4BC8A">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CAF16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D7569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113B4BDD">
      <w:pPr>
        <w:rPr>
          <w:rFonts w:hint="default" w:ascii="Times New Roman" w:hAnsi="Times New Roman" w:cs="Times New Roman"/>
        </w:rPr>
      </w:pPr>
    </w:p>
    <w:p w14:paraId="3868328E">
      <w:pPr>
        <w:rPr>
          <w:rFonts w:hint="default" w:ascii="Times New Roman" w:hAnsi="Times New Roman" w:cs="Times New Roman"/>
        </w:rPr>
      </w:pPr>
    </w:p>
    <w:p w14:paraId="25C95095">
      <w:pPr>
        <w:rPr>
          <w:rFonts w:hint="default" w:ascii="Times New Roman" w:hAnsi="Times New Roman" w:cs="Times New Roman"/>
        </w:rPr>
      </w:pPr>
    </w:p>
    <w:p w14:paraId="3C85DD5E">
      <w:pPr>
        <w:rPr>
          <w:rFonts w:hint="default" w:ascii="Times New Roman" w:hAnsi="Times New Roman" w:cs="Times New Roman"/>
        </w:rPr>
      </w:pPr>
    </w:p>
    <w:p w14:paraId="70B4D57E">
      <w:pPr>
        <w:rPr>
          <w:rFonts w:hint="default" w:ascii="Times New Roman" w:hAnsi="Times New Roman" w:cs="Times New Roman"/>
        </w:rPr>
      </w:pPr>
    </w:p>
    <w:p w14:paraId="7EAF2996">
      <w:pPr>
        <w:rPr>
          <w:rFonts w:hint="default" w:ascii="Times New Roman" w:hAnsi="Times New Roman" w:cs="Times New Roman"/>
        </w:rPr>
      </w:pPr>
    </w:p>
    <w:p w14:paraId="0989426B">
      <w:pPr>
        <w:rPr>
          <w:rFonts w:hint="default" w:ascii="Times New Roman" w:hAnsi="Times New Roman" w:cs="Times New Roman"/>
        </w:rPr>
      </w:pPr>
    </w:p>
    <w:p w14:paraId="5FC99F4B">
      <w:pPr>
        <w:rPr>
          <w:rFonts w:hint="default" w:ascii="Times New Roman" w:hAnsi="Times New Roman" w:cs="Times New Roman"/>
        </w:rPr>
      </w:pPr>
    </w:p>
    <w:p w14:paraId="7C911B23">
      <w:pPr>
        <w:rPr>
          <w:rFonts w:hint="default" w:ascii="Times New Roman" w:hAnsi="Times New Roman" w:cs="Times New Roman"/>
        </w:rPr>
      </w:pPr>
    </w:p>
    <w:p w14:paraId="7AB0889B">
      <w:pPr>
        <w:rPr>
          <w:rFonts w:hint="default" w:ascii="Times New Roman" w:hAnsi="Times New Roman" w:cs="Times New Roman"/>
        </w:rPr>
      </w:pPr>
    </w:p>
    <w:p w14:paraId="6D16DE38">
      <w:pPr>
        <w:rPr>
          <w:rFonts w:hint="default" w:ascii="Times New Roman" w:hAnsi="Times New Roman" w:cs="Times New Roman"/>
        </w:rPr>
      </w:pPr>
    </w:p>
    <w:p w14:paraId="2D8DA831">
      <w:pPr>
        <w:rPr>
          <w:rFonts w:hint="default" w:ascii="Times New Roman" w:hAnsi="Times New Roman" w:cs="Times New Roman"/>
        </w:rPr>
      </w:pPr>
    </w:p>
    <w:p w14:paraId="0E2E91B0">
      <w:pPr>
        <w:rPr>
          <w:rFonts w:hint="default" w:ascii="Times New Roman" w:hAnsi="Times New Roman" w:cs="Times New Roman"/>
        </w:rPr>
      </w:pPr>
    </w:p>
    <w:p w14:paraId="341E4768">
      <w:pPr>
        <w:rPr>
          <w:rFonts w:hint="default" w:ascii="Times New Roman" w:hAnsi="Times New Roman" w:cs="Times New Roman"/>
        </w:rPr>
      </w:pPr>
    </w:p>
    <w:p w14:paraId="1F1EA9ED">
      <w:pPr>
        <w:rPr>
          <w:rFonts w:hint="default" w:ascii="Times New Roman" w:hAnsi="Times New Roman" w:cs="Times New Roman"/>
        </w:rPr>
      </w:pPr>
    </w:p>
    <w:p w14:paraId="6238D0AE">
      <w:pPr>
        <w:rPr>
          <w:rFonts w:hint="default" w:ascii="Times New Roman" w:hAnsi="Times New Roman" w:cs="Times New Roman"/>
        </w:rPr>
      </w:pPr>
    </w:p>
    <w:p w14:paraId="6BBE2AF7">
      <w:pPr>
        <w:rPr>
          <w:rFonts w:hint="default" w:ascii="Times New Roman" w:hAnsi="Times New Roman" w:cs="Times New Roman"/>
        </w:rPr>
      </w:pPr>
    </w:p>
    <w:p w14:paraId="593339C5">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w:t>
            </w:r>
            <w:r>
              <w:rPr>
                <w:rFonts w:hint="eastAsia" w:ascii="黑体" w:hAnsi="黑体" w:eastAsia="黑体" w:cs="黑体"/>
                <w:b w:val="0"/>
                <w:bCs/>
                <w:color w:val="000000" w:themeColor="text1"/>
                <w:sz w:val="24"/>
                <w:szCs w:val="24"/>
                <w:lang w:val="en-US" w:eastAsia="zh-CN" w:bidi="ar"/>
                <w14:textFill>
                  <w14:solidFill>
                    <w14:schemeClr w14:val="tx1"/>
                  </w14:solidFill>
                </w14:textFill>
              </w:rPr>
              <w:t>相关专业</w:t>
            </w:r>
            <w:r>
              <w:rPr>
                <w:rFonts w:hint="eastAsia" w:ascii="黑体" w:hAnsi="黑体" w:eastAsia="黑体" w:cs="黑体"/>
                <w:b w:val="0"/>
                <w:bCs/>
                <w:color w:val="000000" w:themeColor="text1"/>
                <w:sz w:val="24"/>
                <w:szCs w:val="24"/>
                <w:lang w:bidi="ar"/>
                <w14:textFill>
                  <w14:solidFill>
                    <w14:schemeClr w14:val="tx1"/>
                  </w14:solidFill>
                </w14:textFill>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林  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spacing w:line="240" w:lineRule="exact"/>
              <w:ind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建筑工程技术</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彭熠琛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spacing w:line="240" w:lineRule="exact"/>
              <w:ind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艺术设计</w:t>
            </w:r>
          </w:p>
        </w:tc>
      </w:tr>
    </w:tbl>
    <w:p w14:paraId="55C04522">
      <w:pPr>
        <w:rPr>
          <w:rFonts w:hint="default" w:ascii="Times New Roman" w:hAnsi="Times New Roman" w:cs="Times New Roman"/>
        </w:rPr>
      </w:pPr>
    </w:p>
    <w:p w14:paraId="68C5DE53">
      <w:pPr>
        <w:rPr>
          <w:rFonts w:hint="default" w:ascii="Times New Roman" w:hAnsi="Times New Roman" w:cs="Times New Roman"/>
        </w:rPr>
      </w:pPr>
    </w:p>
    <w:p w14:paraId="1746AE94">
      <w:pPr>
        <w:rPr>
          <w:rFonts w:hint="default" w:ascii="Times New Roman" w:hAnsi="Times New Roman" w:cs="Times New Roman"/>
        </w:rPr>
      </w:pPr>
    </w:p>
    <w:p w14:paraId="0A00E63E">
      <w:pPr>
        <w:rPr>
          <w:rFonts w:hint="default" w:ascii="Times New Roman" w:hAnsi="Times New Roman" w:cs="Times New Roman"/>
        </w:rPr>
      </w:pPr>
    </w:p>
    <w:p w14:paraId="25D50C70">
      <w:pPr>
        <w:rPr>
          <w:rFonts w:hint="default" w:ascii="Times New Roman" w:hAnsi="Times New Roman" w:cs="Times New Roman"/>
        </w:rPr>
      </w:pPr>
    </w:p>
    <w:p w14:paraId="60843E1B">
      <w:pPr>
        <w:rPr>
          <w:rFonts w:hint="default" w:ascii="Times New Roman" w:hAnsi="Times New Roman" w:cs="Times New Roman"/>
        </w:rPr>
      </w:pPr>
    </w:p>
    <w:p w14:paraId="6C7689C4">
      <w:pPr>
        <w:rPr>
          <w:rFonts w:hint="default" w:ascii="Times New Roman" w:hAnsi="Times New Roman" w:cs="Times New Roman"/>
        </w:rPr>
      </w:pPr>
    </w:p>
    <w:p w14:paraId="6193FDA2">
      <w:pPr>
        <w:rPr>
          <w:rFonts w:hint="default" w:ascii="Times New Roman" w:hAnsi="Times New Roman" w:cs="Times New Roman"/>
        </w:rPr>
      </w:pPr>
    </w:p>
    <w:p w14:paraId="6BF811B6">
      <w:pPr>
        <w:rPr>
          <w:rFonts w:hint="default" w:ascii="Times New Roman" w:hAnsi="Times New Roman" w:cs="Times New Roman"/>
        </w:rPr>
      </w:pPr>
    </w:p>
    <w:p w14:paraId="5F77A053">
      <w:pPr>
        <w:rPr>
          <w:rFonts w:hint="default" w:ascii="Times New Roman" w:hAnsi="Times New Roman" w:cs="Times New Roman"/>
        </w:rPr>
      </w:pPr>
    </w:p>
    <w:p w14:paraId="11386BB7">
      <w:pPr>
        <w:rPr>
          <w:rFonts w:hint="default" w:ascii="Times New Roman" w:hAnsi="Times New Roman" w:cs="Times New Roman"/>
        </w:rPr>
      </w:pPr>
    </w:p>
    <w:p w14:paraId="3E5398FA">
      <w:pPr>
        <w:rPr>
          <w:rFonts w:hint="default" w:ascii="Times New Roman" w:hAnsi="Times New Roman" w:cs="Times New Roman"/>
        </w:rPr>
      </w:pPr>
    </w:p>
    <w:p w14:paraId="25A75918">
      <w:pPr>
        <w:rPr>
          <w:rFonts w:hint="default" w:ascii="Times New Roman" w:hAnsi="Times New Roman" w:cs="Times New Roman"/>
        </w:rPr>
      </w:pPr>
    </w:p>
    <w:p w14:paraId="218FCAEF">
      <w:pPr>
        <w:rPr>
          <w:rFonts w:hint="default" w:ascii="Times New Roman" w:hAnsi="Times New Roman" w:cs="Times New Roman"/>
        </w:rPr>
      </w:pPr>
    </w:p>
    <w:p w14:paraId="1D05F2FD">
      <w:pPr>
        <w:rPr>
          <w:rFonts w:hint="default" w:ascii="Times New Roman" w:hAnsi="Times New Roman" w:cs="Times New Roman"/>
        </w:rPr>
      </w:pPr>
    </w:p>
    <w:p w14:paraId="4CA647C5">
      <w:pPr>
        <w:rPr>
          <w:rFonts w:hint="default" w:ascii="Times New Roman" w:hAnsi="Times New Roman" w:cs="Times New Roman"/>
        </w:rPr>
      </w:pPr>
    </w:p>
    <w:p w14:paraId="714A52E9">
      <w:pPr>
        <w:jc w:val="both"/>
        <w:rPr>
          <w:rFonts w:hint="eastAsia" w:ascii="方正小标宋_GBK" w:hAnsi="方正小标宋_GBK" w:eastAsia="方正小标宋_GBK" w:cs="方正小标宋_GBK"/>
          <w:b w:val="0"/>
          <w:bCs w:val="0"/>
          <w:sz w:val="36"/>
          <w:szCs w:val="36"/>
          <w:lang w:bidi="ar"/>
        </w:rPr>
      </w:pPr>
    </w:p>
    <w:p w14:paraId="7A318BBB">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fldChar w:fldCharType="begin"/>
            </w:r>
            <w:r>
              <w:rPr>
                <w:rFonts w:hint="default"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"javascript:__doPostBack('GvData$ctl03$Link_EquipmentName','')" </w:instrText>
            </w:r>
            <w:r>
              <w:rPr>
                <w:rFonts w:hint="default" w:ascii="宋体" w:hAnsi="宋体" w:eastAsia="宋体" w:cs="宋体"/>
                <w:color w:val="000000" w:themeColor="text1"/>
                <w:sz w:val="24"/>
                <w:szCs w:val="24"/>
                <w:lang w:val="en-US" w:eastAsia="zh-CN"/>
                <w14:textFill>
                  <w14:solidFill>
                    <w14:schemeClr w14:val="tx1"/>
                  </w14:solidFill>
                </w14:textFill>
              </w:rPr>
              <w:fldChar w:fldCharType="separate"/>
            </w:r>
            <w:r>
              <w:rPr>
                <w:rFonts w:hint="default" w:ascii="宋体" w:hAnsi="宋体" w:eastAsia="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TS5PRO</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default" w:ascii="宋体" w:hAnsi="宋体" w:eastAsia="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X6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fldChar w:fldCharType="begin"/>
            </w:r>
            <w:r>
              <w:rPr>
                <w:rFonts w:hint="default"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"javascript:__doPostBack('GvData$ctl04$Link_EquipmentName','')" </w:instrText>
            </w:r>
            <w:r>
              <w:rPr>
                <w:rFonts w:hint="default" w:ascii="宋体" w:hAnsi="宋体" w:eastAsia="宋体" w:cs="宋体"/>
                <w:color w:val="000000" w:themeColor="text1"/>
                <w:sz w:val="24"/>
                <w:szCs w:val="24"/>
                <w:lang w:val="en-US" w:eastAsia="zh-CN"/>
                <w14:textFill>
                  <w14:solidFill>
                    <w14:schemeClr w14:val="tx1"/>
                  </w14:solidFill>
                </w14:textFill>
              </w:rPr>
              <w:fldChar w:fldCharType="separate"/>
            </w:r>
            <w:r>
              <w:rPr>
                <w:rFonts w:hint="default" w:ascii="宋体" w:hAnsi="宋体" w:eastAsia="宋体" w:cs="宋体"/>
                <w:color w:val="000000" w:themeColor="text1"/>
                <w:sz w:val="24"/>
                <w:szCs w:val="24"/>
                <w:lang w:val="en-US" w:eastAsia="zh-CN"/>
                <w14:textFill>
                  <w14:solidFill>
                    <w14:schemeClr w14:val="tx1"/>
                  </w14:solidFill>
                </w14:textFill>
              </w:rPr>
              <w:t>全站仪（不低于2秒级精度）</w:t>
            </w:r>
            <w:r>
              <w:rPr>
                <w:rFonts w:hint="default"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STS-722R4L</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fldChar w:fldCharType="begin"/>
            </w:r>
            <w:r>
              <w:rPr>
                <w:rFonts w:hint="default"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"javascript:__doPostBack('GvData$ctl06$Link_EquipmentName','')" </w:instrText>
            </w:r>
            <w:r>
              <w:rPr>
                <w:rFonts w:hint="default" w:ascii="宋体" w:hAnsi="宋体" w:eastAsia="宋体" w:cs="宋体"/>
                <w:color w:val="000000" w:themeColor="text1"/>
                <w:sz w:val="24"/>
                <w:szCs w:val="24"/>
                <w:lang w:val="en-US" w:eastAsia="zh-CN"/>
                <w14:textFill>
                  <w14:solidFill>
                    <w14:schemeClr w14:val="tx1"/>
                  </w14:solidFill>
                </w14:textFill>
              </w:rPr>
              <w:fldChar w:fldCharType="separate"/>
            </w:r>
            <w:r>
              <w:rPr>
                <w:rFonts w:hint="default" w:ascii="宋体" w:hAnsi="宋体" w:eastAsia="宋体" w:cs="宋体"/>
                <w:color w:val="000000" w:themeColor="text1"/>
                <w:sz w:val="24"/>
                <w:szCs w:val="24"/>
                <w:lang w:val="en-US" w:eastAsia="zh-CN"/>
                <w14:textFill>
                  <w14:solidFill>
                    <w14:schemeClr w14:val="tx1"/>
                  </w14:solidFill>
                </w14:textFill>
              </w:rPr>
              <w:t>手持测距仪</w:t>
            </w:r>
            <w:r>
              <w:rPr>
                <w:rFonts w:hint="default"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X3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bl>
    <w:p w14:paraId="5428D2E4">
      <w:pPr>
        <w:jc w:val="center"/>
        <w:rPr>
          <w:rFonts w:hint="default" w:ascii="Times New Roman" w:hAnsi="Times New Roman" w:cs="Times New Roman"/>
          <w:b/>
          <w:sz w:val="44"/>
          <w:szCs w:val="44"/>
        </w:rPr>
      </w:pPr>
    </w:p>
    <w:p w14:paraId="65A39000">
      <w:pPr>
        <w:jc w:val="center"/>
        <w:rPr>
          <w:rFonts w:hint="default" w:ascii="Times New Roman" w:hAnsi="Times New Roman" w:cs="Times New Roman"/>
          <w:b/>
          <w:sz w:val="44"/>
          <w:szCs w:val="44"/>
        </w:rPr>
      </w:pPr>
    </w:p>
    <w:p w14:paraId="7FCBBEE0">
      <w:pPr>
        <w:jc w:val="center"/>
        <w:rPr>
          <w:rFonts w:hint="default" w:ascii="Times New Roman" w:hAnsi="Times New Roman" w:cs="Times New Roman"/>
          <w:b/>
          <w:sz w:val="44"/>
          <w:szCs w:val="44"/>
        </w:rPr>
      </w:pPr>
    </w:p>
    <w:p w14:paraId="69EECF1C">
      <w:pPr>
        <w:jc w:val="both"/>
        <w:rPr>
          <w:rFonts w:hint="eastAsia" w:ascii="方正小标宋_GBK" w:hAnsi="方正小标宋_GBK" w:eastAsia="方正小标宋_GBK" w:cs="方正小标宋_GBK"/>
          <w:b w:val="0"/>
          <w:bCs w:val="0"/>
          <w:sz w:val="36"/>
          <w:szCs w:val="36"/>
          <w:lang w:bidi="ar"/>
        </w:rPr>
      </w:pPr>
    </w:p>
    <w:p w14:paraId="57E5F20A">
      <w:pPr>
        <w:jc w:val="both"/>
        <w:rPr>
          <w:rFonts w:hint="eastAsia" w:ascii="方正小标宋_GBK" w:hAnsi="方正小标宋_GBK" w:eastAsia="方正小标宋_GBK" w:cs="方正小标宋_GBK"/>
          <w:b w:val="0"/>
          <w:bCs w:val="0"/>
          <w:sz w:val="36"/>
          <w:szCs w:val="36"/>
          <w:lang w:bidi="ar"/>
        </w:rPr>
      </w:pPr>
    </w:p>
    <w:p w14:paraId="513AA300">
      <w:pPr>
        <w:jc w:val="both"/>
        <w:rPr>
          <w:rFonts w:hint="eastAsia" w:ascii="方正小标宋_GBK" w:hAnsi="方正小标宋_GBK" w:eastAsia="方正小标宋_GBK" w:cs="方正小标宋_GBK"/>
          <w:b w:val="0"/>
          <w:bCs w:val="0"/>
          <w:sz w:val="36"/>
          <w:szCs w:val="36"/>
          <w:lang w:bidi="ar"/>
        </w:rPr>
      </w:pPr>
    </w:p>
    <w:p w14:paraId="71C09923">
      <w:pPr>
        <w:jc w:val="both"/>
        <w:rPr>
          <w:rFonts w:hint="eastAsia" w:ascii="方正小标宋_GBK" w:hAnsi="方正小标宋_GBK" w:eastAsia="方正小标宋_GBK" w:cs="方正小标宋_GBK"/>
          <w:b w:val="0"/>
          <w:bCs w:val="0"/>
          <w:sz w:val="36"/>
          <w:szCs w:val="36"/>
          <w:lang w:bidi="ar"/>
        </w:rPr>
      </w:pPr>
    </w:p>
    <w:p w14:paraId="57D8E864">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2485"/>
        <w:gridCol w:w="3707"/>
        <w:gridCol w:w="1864"/>
        <w:gridCol w:w="1864"/>
        <w:gridCol w:w="1864"/>
        <w:gridCol w:w="1864"/>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基本情况</w:t>
            </w:r>
          </w:p>
          <w:p w14:paraId="7099E6A1">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color w:val="000000" w:themeColor="text1"/>
                <w:sz w:val="24"/>
                <w:szCs w:val="24"/>
                <w:lang w:val="en" w:bidi="ar"/>
                <w14:textFill>
                  <w14:solidFill>
                    <w14:schemeClr w14:val="tx1"/>
                  </w14:solidFill>
                </w14:textFill>
              </w:rPr>
            </w:pPr>
            <w:r>
              <w:rPr>
                <w:rFonts w:hint="eastAsia" w:ascii="黑体" w:hAnsi="黑体" w:eastAsia="黑体" w:cs="黑体"/>
                <w:b w:val="0"/>
                <w:bCs/>
                <w:color w:val="000000" w:themeColor="text1"/>
                <w:sz w:val="24"/>
                <w:szCs w:val="24"/>
                <w:lang w:val="en" w:eastAsia="zh-CN" w:bidi="ar"/>
                <w14:textFill>
                  <w14:solidFill>
                    <w14:schemeClr w14:val="tx1"/>
                  </w14:solidFill>
                </w14:textFill>
              </w:rPr>
              <w:t>项目</w:t>
            </w:r>
            <w:r>
              <w:rPr>
                <w:rFonts w:hint="eastAsia" w:ascii="黑体" w:hAnsi="黑体" w:eastAsia="黑体" w:cs="黑体"/>
                <w:b w:val="0"/>
                <w:bCs/>
                <w:color w:val="000000" w:themeColor="text1"/>
                <w:sz w:val="24"/>
                <w:szCs w:val="24"/>
                <w:lang w:val="en" w:bidi="ar"/>
                <w14:textFill>
                  <w14:solidFill>
                    <w14:schemeClr w14:val="tx1"/>
                  </w14:solidFill>
                </w14:textFill>
              </w:rPr>
              <w:t>金额</w:t>
            </w:r>
          </w:p>
          <w:p w14:paraId="28B32D9B">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val="en" w:eastAsia="zh-CN" w:bidi="ar"/>
                <w14:textFill>
                  <w14:solidFill>
                    <w14:schemeClr w14:val="tx1"/>
                  </w14:solidFill>
                </w14:textFill>
              </w:rPr>
              <w:t>（</w:t>
            </w:r>
            <w:r>
              <w:rPr>
                <w:rFonts w:hint="eastAsia" w:ascii="黑体" w:hAnsi="黑体" w:eastAsia="黑体" w:cs="黑体"/>
                <w:b w:val="0"/>
                <w:bCs/>
                <w:color w:val="000000" w:themeColor="text1"/>
                <w:sz w:val="24"/>
                <w:szCs w:val="24"/>
                <w:lang w:val="en" w:bidi="ar"/>
                <w14:textFill>
                  <w14:solidFill>
                    <w14:schemeClr w14:val="tx1"/>
                  </w14:solidFill>
                </w14:textFill>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验收时间</w:t>
            </w:r>
          </w:p>
          <w:p w14:paraId="400CA9DB">
            <w:pPr>
              <w:spacing w:line="340" w:lineRule="exact"/>
              <w:jc w:val="center"/>
              <w:rPr>
                <w:rFonts w:hint="eastAsia" w:ascii="黑体" w:hAnsi="黑体" w:eastAsia="黑体" w:cs="黑体"/>
                <w:b w:val="0"/>
                <w:bCs/>
                <w:color w:val="000000" w:themeColor="text1"/>
                <w:sz w:val="24"/>
                <w:szCs w:val="24"/>
                <w:lang w:val="en" w:eastAsia="zh-CN" w:bidi="ar"/>
                <w14:textFill>
                  <w14:solidFill>
                    <w14:schemeClr w14:val="tx1"/>
                  </w14:solidFill>
                </w14:textFill>
              </w:rPr>
            </w:pPr>
            <w:r>
              <w:rPr>
                <w:rFonts w:hint="eastAsia" w:ascii="黑体" w:hAnsi="黑体" w:eastAsia="黑体" w:cs="黑体"/>
                <w:b w:val="0"/>
                <w:bCs/>
                <w:color w:val="000000" w:themeColor="text1"/>
                <w:sz w:val="24"/>
                <w:szCs w:val="24"/>
                <w:lang w:eastAsia="zh-CN" w:bidi="ar"/>
                <w14:textFill>
                  <w14:solidFill>
                    <w14:schemeClr w14:val="tx1"/>
                  </w14:solidFill>
                </w14:textFill>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验收机构</w:t>
            </w:r>
          </w:p>
          <w:p w14:paraId="001AC209">
            <w:pPr>
              <w:spacing w:line="340" w:lineRule="exact"/>
              <w:jc w:val="center"/>
              <w:rPr>
                <w:rFonts w:hint="eastAsia" w:ascii="黑体" w:hAnsi="黑体" w:eastAsia="黑体" w:cs="黑体"/>
                <w:b w:val="0"/>
                <w:bCs/>
                <w:color w:val="000000" w:themeColor="text1"/>
                <w:sz w:val="24"/>
                <w:szCs w:val="24"/>
                <w:lang w:bidi="ar"/>
                <w14:textFill>
                  <w14:solidFill>
                    <w14:schemeClr w14:val="tx1"/>
                  </w14:solidFill>
                </w14:textFill>
              </w:rPr>
            </w:pPr>
            <w:r>
              <w:rPr>
                <w:rFonts w:hint="eastAsia" w:ascii="黑体" w:hAnsi="黑体" w:eastAsia="黑体" w:cs="黑体"/>
                <w:b w:val="0"/>
                <w:bCs/>
                <w:color w:val="000000" w:themeColor="text1"/>
                <w:sz w:val="24"/>
                <w:szCs w:val="24"/>
                <w:lang w:eastAsia="zh-CN" w:bidi="ar"/>
                <w14:textFill>
                  <w14:solidFill>
                    <w14:schemeClr w14:val="tx1"/>
                  </w14:solidFill>
                </w14:textFill>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5C059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湖南卓鸿置业有限公司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E99097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甲方委托我公司对坐落于长沙县湘龙街道高沙社区213号承文府项目进行不动产测绘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369C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D6026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23.8740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D9F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2026-07-27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BC135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BE7171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43B2C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湖南省机场管理集团有限公司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587447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甲方委托我公司对坐落于长沙县黄花镇黄花机场安检综合楼进行工程测量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56D5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C23B2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3.4951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4BB41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2026-07-06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646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052915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64086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长沙市华阳小学</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E2194C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甲方委托我公司对坐落于长沙县蓝田路以西、漓湘路以南华阳小学进行不动产测绘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162A0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A98D5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65342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2025-12-22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DA400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3CD19A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335A6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长沙融宇房地产有限公司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86A125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甲方委托我公司对坐落于长沙县宁华路、东九线以西金辉星樾云邸项目进行工程测量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E16D1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9D91C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27.2803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720F7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2025-12-18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DE6CD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FAED62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739693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湖南星广置业有限公司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9788FC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甲方委托我公司对坐落于长沙县开元路以北、东十一路以西星悦湾项目进行工程测量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2ABEC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8E766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58DCF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2025-08-31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65911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3D7E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12BB12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2ED180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湖南润民地产有限公司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99D9D2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甲方委托我公司对坐落于长沙县湘龙街道湘绣路147号三和润佳苑进行工程测量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020D61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EEC9D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25.5727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C9789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2025-05-28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2817E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306E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F5D0AA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D4A1D3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湖南大中南汽车经营有限公司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C893A8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甲方委托我公司对坐落于长沙县湘龙街道凉塘西路1号恒广国际景园一区二期地下室进行不动产测绘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CA7BC6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83E30D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3.1970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9DA911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2024-12-20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265C7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2FE7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9FF410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9A3E31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长沙市爱之山房地产有限公司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EBEB7C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甲方委托我公司对坐落于长沙县湘龙街道大华路8号公望府项目进行不动产测绘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0736F7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7CABEB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42.0931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CB275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2023-12-15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3ED956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54BF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35569B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23E860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长沙卫生职业学院</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BF780A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甲方委托我公司对坐落于长沙县星沙街道灰埠路103号长沙卫生职业学院进行不动产测绘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7E72D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4751DD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14.0134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03F27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2023-05-10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5D1B4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4373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F2A16D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9AB828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长沙市敏鸿房地产开发有限公司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967147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甲方委托我公司对坐落于长沙县泉塘街道远大三路206号敏捷珑玥府项目进行不动产测绘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ECF892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7E8AB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21.8010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02339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2023-01-13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00122E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169A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4C4577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279E9E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长沙县第三医院</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7CF05D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甲方委托我公司对坐落于长沙县安沙镇安沙社区安沙组123号长沙县第三医院项目进行不动产测绘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A1AF1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AF6F87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17.5706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41B92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2023-01-04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2C22E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6EB6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7D222D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375B2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长沙县中医院</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44B16C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甲方委托我公司对坐落于长沙县安沙镇安沙社区长沙县中医院项目进行不动产测绘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65CE3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F2DB4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D0523B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2022-11-17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7715F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6C14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9A49CA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FA4B38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中国铁建重工集团股份有限公司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8A9628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甲方委托我公司对坐落于长沙经济技术开发区东十一路铁建重工项目进行不动产测绘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07AF4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9D545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8.5119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96C30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2022-11-14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9FBF28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47B6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ECC889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8B1596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长沙县消防救援大队</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B444CB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甲方委托我公司对坐落于长沙县黄花镇空港城长沙县鹏盛消防站项目进行工程测量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9CBE58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7FDDE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7.5090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59A37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2022-07-26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B106D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r w14:paraId="126B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91CAD5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028484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长沙雅尚投资开发有限公司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1F538E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甲方委托我公司对坐落于长沙县黄兴镇国展路101号精品酒店项目进行不动产测绘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9E4806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7A2EF7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6.1892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EDB3C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2022-0</w:t>
            </w:r>
            <w:bookmarkStart w:id="0" w:name="_GoBack"/>
            <w:bookmarkEnd w:id="0"/>
            <w:r>
              <w:rPr>
                <w:rFonts w:hint="eastAsia" w:ascii="宋体" w:hAnsi="宋体" w:cs="宋体"/>
                <w:color w:val="000000" w:themeColor="text1"/>
                <w:sz w:val="24"/>
                <w:szCs w:val="24"/>
                <w:lang w:val="en-US" w:eastAsia="zh-CN"/>
                <w14:textFill>
                  <w14:solidFill>
                    <w14:schemeClr w14:val="tx1"/>
                  </w14:solidFill>
                </w14:textFill>
              </w:rPr>
              <w:t>7-15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4D1EC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长沙县自然资源局</w:t>
            </w:r>
          </w:p>
        </w:tc>
      </w:tr>
    </w:tbl>
    <w:p w14:paraId="603C845E">
      <w:pPr>
        <w:jc w:val="both"/>
        <w:rPr>
          <w:rFonts w:hint="eastAsia" w:ascii="方正小标宋_GBK" w:hAnsi="方正小标宋_GBK" w:eastAsia="方正小标宋_GBK" w:cs="方正小标宋_GBK"/>
          <w:b w:val="0"/>
          <w:bCs w:val="0"/>
          <w:sz w:val="36"/>
          <w:szCs w:val="36"/>
          <w:lang w:bidi="ar"/>
        </w:rPr>
      </w:pPr>
    </w:p>
    <w:p w14:paraId="223AF14E">
      <w:pPr>
        <w:jc w:val="both"/>
        <w:rPr>
          <w:rFonts w:hint="eastAsia" w:ascii="方正小标宋_GBK" w:hAnsi="方正小标宋_GBK" w:eastAsia="方正小标宋_GBK" w:cs="方正小标宋_GBK"/>
          <w:b w:val="0"/>
          <w:bCs w:val="0"/>
          <w:sz w:val="36"/>
          <w:szCs w:val="36"/>
          <w:lang w:bidi="ar"/>
        </w:rPr>
      </w:pPr>
    </w:p>
    <w:p w14:paraId="3FD4BE11">
      <w:pPr>
        <w:jc w:val="both"/>
        <w:rPr>
          <w:rFonts w:hint="eastAsia" w:ascii="方正小标宋_GBK" w:hAnsi="方正小标宋_GBK" w:eastAsia="方正小标宋_GBK" w:cs="方正小标宋_GBK"/>
          <w:b w:val="0"/>
          <w:bCs w:val="0"/>
          <w:sz w:val="36"/>
          <w:szCs w:val="36"/>
          <w:lang w:bidi="ar"/>
        </w:rPr>
      </w:pPr>
    </w:p>
    <w:p w14:paraId="480DC667">
      <w:pPr>
        <w:jc w:val="both"/>
        <w:rPr>
          <w:rFonts w:hint="eastAsia" w:ascii="方正小标宋_GBK" w:hAnsi="方正小标宋_GBK" w:eastAsia="方正小标宋_GBK" w:cs="方正小标宋_GBK"/>
          <w:b w:val="0"/>
          <w:bCs w:val="0"/>
          <w:sz w:val="36"/>
          <w:szCs w:val="36"/>
          <w:lang w:bidi="ar"/>
        </w:rPr>
      </w:pPr>
    </w:p>
    <w:p w14:paraId="6C8DE013">
      <w:pPr>
        <w:jc w:val="both"/>
        <w:rPr>
          <w:rFonts w:hint="eastAsia" w:ascii="方正小标宋_GBK" w:hAnsi="方正小标宋_GBK" w:eastAsia="方正小标宋_GBK" w:cs="方正小标宋_GBK"/>
          <w:b w:val="0"/>
          <w:bCs w:val="0"/>
          <w:sz w:val="36"/>
          <w:szCs w:val="36"/>
          <w:lang w:bidi="ar"/>
        </w:rPr>
      </w:pPr>
    </w:p>
    <w:p w14:paraId="5789F292">
      <w:pPr>
        <w:jc w:val="both"/>
        <w:rPr>
          <w:rFonts w:hint="eastAsia" w:ascii="方正小标宋_GBK" w:hAnsi="方正小标宋_GBK" w:eastAsia="方正小标宋_GBK" w:cs="方正小标宋_GBK"/>
          <w:b w:val="0"/>
          <w:bCs w:val="0"/>
          <w:sz w:val="36"/>
          <w:szCs w:val="36"/>
          <w:lang w:bidi="ar"/>
        </w:rPr>
      </w:pPr>
    </w:p>
    <w:p w14:paraId="1EF6245F">
      <w:pPr>
        <w:jc w:val="both"/>
        <w:rPr>
          <w:rFonts w:hint="eastAsia" w:ascii="方正小标宋_GBK" w:hAnsi="方正小标宋_GBK" w:eastAsia="方正小标宋_GBK" w:cs="方正小标宋_GBK"/>
          <w:b w:val="0"/>
          <w:bCs w:val="0"/>
          <w:sz w:val="36"/>
          <w:szCs w:val="36"/>
          <w:lang w:bidi="ar"/>
        </w:rPr>
      </w:pPr>
    </w:p>
    <w:p w14:paraId="4512F4DC">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561E213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06527B6E"/>
    <w:rsid w:val="18673B9E"/>
    <w:rsid w:val="433E55F2"/>
    <w:rsid w:val="43D47D05"/>
    <w:rsid w:val="43F92955"/>
    <w:rsid w:val="50F6750C"/>
    <w:rsid w:val="57A61288"/>
    <w:rsid w:val="61653274"/>
    <w:rsid w:val="6A701C86"/>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2802</Words>
  <Characters>3110</Characters>
  <Lines>0</Lines>
  <Paragraphs>0</Paragraphs>
  <TotalTime>101</TotalTime>
  <ScaleCrop>false</ScaleCrop>
  <LinksUpToDate>false</LinksUpToDate>
  <CharactersWithSpaces>3119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2026-09-24T08:48:52Z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