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6CB3C">
      <w:pPr>
        <w:jc w:val="both"/>
        <w:rPr>
          <w:rFonts w:hint="eastAsia" w:ascii="方正小标宋简体" w:hAnsi="方正小标宋简体" w:eastAsia="方正小标宋简体" w:cs="方正小标宋简体"/>
          <w:b w:val="0"/>
          <w:bCs/>
          <w:sz w:val="48"/>
          <w:szCs w:val="48"/>
          <w:u w:val="single"/>
          <w:lang w:val="en-US" w:eastAsia="zh-CN" w:bidi="ar"/>
        </w:rPr>
      </w:pPr>
    </w:p>
    <w:p w14:paraId="02F2492B">
      <w:pPr>
        <w:jc w:val="both"/>
        <w:rPr>
          <w:rFonts w:hint="eastAsia" w:ascii="方正小标宋简体" w:hAnsi="方正小标宋简体" w:eastAsia="方正小标宋简体" w:cs="方正小标宋简体"/>
          <w:b w:val="0"/>
          <w:bCs/>
          <w:sz w:val="48"/>
          <w:szCs w:val="48"/>
          <w:u w:val="single"/>
          <w:lang w:val="en-US" w:eastAsia="zh-CN" w:bidi="ar"/>
        </w:rPr>
      </w:pPr>
    </w:p>
    <w:p w14:paraId="5CED33A2">
      <w:pPr>
        <w:jc w:val="both"/>
        <w:rPr>
          <w:rFonts w:hint="eastAsia" w:ascii="方正小标宋简体" w:hAnsi="方正小标宋简体" w:eastAsia="方正小标宋简体" w:cs="方正小标宋简体"/>
          <w:b w:val="0"/>
          <w:bCs/>
          <w:sz w:val="48"/>
          <w:szCs w:val="48"/>
          <w:u w:val="single"/>
          <w:lang w:val="en-US" w:eastAsia="zh-CN" w:bidi="ar"/>
        </w:rPr>
      </w:pPr>
    </w:p>
    <w:p w14:paraId="43BA1AA9">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娄底坤辉测绘信息有限公司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2EA690A8">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1260CDE3">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1B204D7A">
      <w:pPr>
        <w:rPr>
          <w:rFonts w:hint="default" w:ascii="Times New Roman" w:hAnsi="Times New Roman" w:cs="Times New Roman"/>
        </w:rPr>
      </w:pPr>
    </w:p>
    <w:p w14:paraId="2514932A">
      <w:pPr>
        <w:rPr>
          <w:rFonts w:hint="default" w:ascii="Times New Roman" w:hAnsi="Times New Roman" w:cs="Times New Roman"/>
        </w:rPr>
      </w:pPr>
    </w:p>
    <w:p w14:paraId="09EC2E6D">
      <w:pPr>
        <w:rPr>
          <w:rFonts w:hint="default" w:ascii="Times New Roman" w:hAnsi="Times New Roman" w:cs="Times New Roman"/>
        </w:rPr>
      </w:pPr>
    </w:p>
    <w:p w14:paraId="74E160B6">
      <w:pPr>
        <w:rPr>
          <w:rFonts w:hint="default" w:ascii="Times New Roman" w:hAnsi="Times New Roman" w:cs="Times New Roman"/>
        </w:rPr>
      </w:pPr>
    </w:p>
    <w:p w14:paraId="016B9186">
      <w:pPr>
        <w:rPr>
          <w:rFonts w:hint="default" w:ascii="Times New Roman" w:hAnsi="Times New Roman" w:cs="Times New Roman"/>
        </w:rPr>
      </w:pPr>
    </w:p>
    <w:p w14:paraId="126DF5EA">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738BDA00">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349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1D8299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B3C3D9B">
            <w:pPr>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val="0"/>
                <w:bCs/>
                <w:color w:val="000000" w:themeColor="text1"/>
                <w:sz w:val="24"/>
                <w:szCs w:val="24"/>
                <w:u w:val="none"/>
                <w:lang w:val="en-US" w:eastAsia="zh-CN" w:bidi="ar"/>
                <w14:textFill>
                  <w14:solidFill>
                    <w14:schemeClr w14:val="tx1"/>
                  </w14:solidFill>
                </w14:textFill>
              </w:rPr>
              <w:t xml:space="preserve"> 娄底坤辉测绘信息有限公司</w:t>
            </w:r>
          </w:p>
        </w:tc>
      </w:tr>
      <w:tr w14:paraId="50EE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DBC202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596471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民营企业</w:t>
            </w:r>
          </w:p>
        </w:tc>
      </w:tr>
      <w:tr w14:paraId="235DB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861887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0D2116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湖南省娄底市娄星区扶青路西侧君悦华府0004幢809号</w:t>
            </w:r>
          </w:p>
        </w:tc>
      </w:tr>
      <w:tr w14:paraId="48750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57F8C87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D09638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李军煌</w:t>
            </w:r>
          </w:p>
        </w:tc>
      </w:tr>
      <w:tr w14:paraId="561E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53B629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29AC243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乙级：工程测量、界线与不动产测绘</w:t>
            </w:r>
          </w:p>
        </w:tc>
      </w:tr>
    </w:tbl>
    <w:p w14:paraId="5BDA8044">
      <w:pPr>
        <w:rPr>
          <w:rFonts w:hint="default" w:ascii="Times New Roman" w:hAnsi="Times New Roman" w:cs="Times New Roman"/>
        </w:rPr>
      </w:pPr>
    </w:p>
    <w:p w14:paraId="5171121F">
      <w:pPr>
        <w:jc w:val="center"/>
        <w:rPr>
          <w:rFonts w:hint="default" w:ascii="Times New Roman" w:hAnsi="Times New Roman" w:cs="Times New Roman"/>
          <w:b/>
          <w:spacing w:val="70"/>
          <w:sz w:val="36"/>
        </w:rPr>
      </w:pPr>
    </w:p>
    <w:p w14:paraId="6442A91C">
      <w:pPr>
        <w:jc w:val="center"/>
        <w:rPr>
          <w:rFonts w:hint="default" w:ascii="Times New Roman" w:hAnsi="Times New Roman" w:cs="Times New Roman"/>
          <w:b/>
          <w:spacing w:val="70"/>
          <w:sz w:val="36"/>
        </w:rPr>
      </w:pPr>
    </w:p>
    <w:p w14:paraId="15C2A38C">
      <w:pPr>
        <w:jc w:val="center"/>
        <w:rPr>
          <w:rFonts w:hint="default" w:ascii="Times New Roman" w:hAnsi="Times New Roman" w:cs="Times New Roman"/>
          <w:b/>
          <w:spacing w:val="70"/>
          <w:sz w:val="36"/>
        </w:rPr>
      </w:pPr>
    </w:p>
    <w:p w14:paraId="7411BF8D">
      <w:pPr>
        <w:jc w:val="center"/>
        <w:rPr>
          <w:rFonts w:hint="default" w:ascii="Times New Roman" w:hAnsi="Times New Roman" w:cs="Times New Roman"/>
          <w:b/>
          <w:spacing w:val="70"/>
          <w:sz w:val="36"/>
        </w:rPr>
      </w:pPr>
    </w:p>
    <w:p w14:paraId="00CD86D4">
      <w:pPr>
        <w:jc w:val="center"/>
        <w:rPr>
          <w:rFonts w:hint="default" w:ascii="Times New Roman" w:hAnsi="Times New Roman" w:cs="Times New Roman"/>
          <w:b/>
          <w:spacing w:val="70"/>
          <w:sz w:val="36"/>
        </w:rPr>
      </w:pPr>
    </w:p>
    <w:p w14:paraId="206BDC3F">
      <w:pPr>
        <w:jc w:val="center"/>
        <w:rPr>
          <w:rFonts w:hint="default" w:ascii="Times New Roman" w:hAnsi="Times New Roman" w:cs="Times New Roman"/>
          <w:b/>
          <w:spacing w:val="70"/>
          <w:sz w:val="36"/>
        </w:rPr>
      </w:pPr>
    </w:p>
    <w:p w14:paraId="16310BE6">
      <w:pPr>
        <w:jc w:val="both"/>
        <w:rPr>
          <w:rFonts w:hint="eastAsia" w:ascii="方正小标宋_GBK" w:hAnsi="方正小标宋_GBK" w:eastAsia="方正小标宋_GBK" w:cs="方正小标宋_GBK"/>
          <w:b w:val="0"/>
          <w:bCs w:val="0"/>
          <w:sz w:val="36"/>
          <w:szCs w:val="36"/>
          <w:lang w:bidi="ar"/>
        </w:rPr>
      </w:pPr>
    </w:p>
    <w:p w14:paraId="37E8BF7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方正小标宋_GBK" w:hAnsi="方正小标宋_GBK" w:eastAsia="方正小标宋_GBK" w:cs="方正小标宋_GBK"/>
          <w:b w:val="0"/>
          <w:bCs w:val="0"/>
          <w:sz w:val="36"/>
          <w:szCs w:val="36"/>
          <w:lang w:eastAsia="zh-CN"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508F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03BFC80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59D6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7A6911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4E6A78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88376B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DA903D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273A35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13E3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E98A62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9F25115">
            <w:pPr>
              <w:keepNext w:val="0"/>
              <w:keepLines w:val="0"/>
              <w:pageBreakBefore w:val="0"/>
              <w:widowControl w:val="0"/>
              <w:kinsoku/>
              <w:wordWrap/>
              <w:overflowPunct/>
              <w:topLinePunct w:val="0"/>
              <w:autoSpaceDE/>
              <w:autoSpaceDN/>
              <w:bidi w:val="0"/>
              <w:adjustRightInd/>
              <w:snapToGrid/>
              <w:spacing w:line="240" w:lineRule="atLeast"/>
              <w:ind w:left="-105" w:right="-105"/>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sz w:val="24"/>
                <w:szCs w:val="24"/>
                <w:vertAlign w:val="baseline"/>
                <w:lang w:val="en-US" w:eastAsia="zh-CN"/>
              </w:rPr>
              <w:t>段博程</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A5A92EE">
            <w:pPr>
              <w:keepNext w:val="0"/>
              <w:keepLines w:val="0"/>
              <w:pageBreakBefore w:val="0"/>
              <w:widowControl w:val="0"/>
              <w:kinsoku/>
              <w:wordWrap/>
              <w:overflowPunct/>
              <w:topLinePunct w:val="0"/>
              <w:autoSpaceDE/>
              <w:autoSpaceDN/>
              <w:bidi w:val="0"/>
              <w:adjustRightInd/>
              <w:snapToGrid/>
              <w:spacing w:line="240" w:lineRule="atLeast"/>
              <w:ind w:right="-105"/>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F8003A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33D06CA">
            <w:pPr>
              <w:keepNext w:val="0"/>
              <w:keepLines w:val="0"/>
              <w:pageBreakBefore w:val="0"/>
              <w:widowControl w:val="0"/>
              <w:kinsoku/>
              <w:wordWrap/>
              <w:overflowPunct/>
              <w:topLinePunct w:val="0"/>
              <w:autoSpaceDE/>
              <w:autoSpaceDN/>
              <w:bidi w:val="0"/>
              <w:adjustRightInd/>
              <w:snapToGrid/>
              <w:spacing w:line="240" w:lineRule="atLeast"/>
              <w:ind w:left="-105" w:right="-105"/>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B64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3DE6C8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F56B800">
            <w:pPr>
              <w:keepNext w:val="0"/>
              <w:keepLines w:val="0"/>
              <w:pageBreakBefore w:val="0"/>
              <w:widowControl w:val="0"/>
              <w:kinsoku/>
              <w:wordWrap/>
              <w:overflowPunct/>
              <w:topLinePunct w:val="0"/>
              <w:autoSpaceDE/>
              <w:autoSpaceDN/>
              <w:bidi w:val="0"/>
              <w:adjustRightInd/>
              <w:snapToGrid/>
              <w:spacing w:line="240" w:lineRule="atLeas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sz w:val="24"/>
                <w:szCs w:val="24"/>
                <w:vertAlign w:val="baseline"/>
                <w:lang w:val="en-US" w:eastAsia="zh-CN"/>
              </w:rPr>
              <w:t>邱泽勇</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3D3AC0">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D6C65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756EA92">
            <w:pPr>
              <w:keepNext w:val="0"/>
              <w:keepLines w:val="0"/>
              <w:pageBreakBefore w:val="0"/>
              <w:widowControl w:val="0"/>
              <w:kinsoku/>
              <w:wordWrap/>
              <w:overflowPunct/>
              <w:topLinePunct w:val="0"/>
              <w:autoSpaceDE/>
              <w:autoSpaceDN/>
              <w:bidi w:val="0"/>
              <w:adjustRightInd/>
              <w:snapToGrid/>
              <w:spacing w:line="240" w:lineRule="atLeast"/>
              <w:ind w:left="-105" w:leftChars="0"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37FCD1FB">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cs="Times New Roman"/>
        </w:rPr>
      </w:pPr>
    </w:p>
    <w:p w14:paraId="2ED1DCBC">
      <w:pPr>
        <w:rPr>
          <w:rFonts w:hint="default" w:ascii="Times New Roman" w:hAnsi="Times New Roman" w:cs="Times New Roman"/>
        </w:rPr>
      </w:pPr>
    </w:p>
    <w:p w14:paraId="3ABA920D">
      <w:pPr>
        <w:rPr>
          <w:rFonts w:hint="default" w:ascii="Times New Roman" w:hAnsi="Times New Roman" w:cs="Times New Roman"/>
        </w:rPr>
      </w:pPr>
    </w:p>
    <w:p w14:paraId="1FB0CD8C">
      <w:pPr>
        <w:rPr>
          <w:rFonts w:hint="default" w:ascii="Times New Roman" w:hAnsi="Times New Roman" w:cs="Times New Roman"/>
        </w:rPr>
      </w:pPr>
    </w:p>
    <w:p w14:paraId="101F20CD">
      <w:pPr>
        <w:rPr>
          <w:rFonts w:hint="default" w:ascii="Times New Roman" w:hAnsi="Times New Roman" w:cs="Times New Roman"/>
        </w:rPr>
      </w:pPr>
    </w:p>
    <w:p w14:paraId="739AD04B">
      <w:pPr>
        <w:rPr>
          <w:rFonts w:hint="default" w:ascii="Times New Roman" w:hAnsi="Times New Roman" w:cs="Times New Roman"/>
        </w:rPr>
      </w:pPr>
    </w:p>
    <w:p w14:paraId="1BC9FA0C">
      <w:pPr>
        <w:rPr>
          <w:rFonts w:hint="default" w:ascii="Times New Roman" w:hAnsi="Times New Roman" w:cs="Times New Roman"/>
        </w:rPr>
      </w:pPr>
    </w:p>
    <w:p w14:paraId="5877FEA0">
      <w:pPr>
        <w:rPr>
          <w:rFonts w:hint="default" w:ascii="Times New Roman" w:hAnsi="Times New Roman" w:cs="Times New Roman"/>
        </w:rPr>
      </w:pPr>
    </w:p>
    <w:p w14:paraId="4A06ED06">
      <w:pPr>
        <w:rPr>
          <w:rFonts w:hint="default" w:ascii="Times New Roman" w:hAnsi="Times New Roman" w:cs="Times New Roman"/>
        </w:rPr>
      </w:pPr>
    </w:p>
    <w:p w14:paraId="6BBF6254">
      <w:pPr>
        <w:rPr>
          <w:rFonts w:hint="default" w:ascii="Times New Roman" w:hAnsi="Times New Roman" w:cs="Times New Roman"/>
        </w:rPr>
      </w:pPr>
    </w:p>
    <w:p w14:paraId="06A58411">
      <w:pPr>
        <w:rPr>
          <w:rFonts w:hint="default" w:ascii="Times New Roman" w:hAnsi="Times New Roman" w:cs="Times New Roman"/>
        </w:rPr>
      </w:pPr>
    </w:p>
    <w:p w14:paraId="342F35FB">
      <w:pPr>
        <w:rPr>
          <w:rFonts w:hint="default" w:ascii="Times New Roman" w:hAnsi="Times New Roman" w:cs="Times New Roman"/>
        </w:rPr>
      </w:pPr>
    </w:p>
    <w:p w14:paraId="050F29ED">
      <w:pPr>
        <w:rPr>
          <w:rFonts w:hint="default" w:ascii="Times New Roman" w:hAnsi="Times New Roman" w:cs="Times New Roman"/>
        </w:rPr>
      </w:pPr>
    </w:p>
    <w:p w14:paraId="60C01A2D">
      <w:pPr>
        <w:rPr>
          <w:rFonts w:hint="default" w:ascii="Times New Roman" w:hAnsi="Times New Roman" w:cs="Times New Roman"/>
        </w:rPr>
      </w:pPr>
    </w:p>
    <w:p w14:paraId="1728ACE5">
      <w:pPr>
        <w:rPr>
          <w:rFonts w:hint="default" w:ascii="Times New Roman" w:hAnsi="Times New Roman" w:cs="Times New Roman"/>
        </w:rPr>
      </w:pPr>
    </w:p>
    <w:p w14:paraId="04E73D02">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60571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44D0333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14:paraId="58016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87CDC9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FE4112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1AEF4C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F67081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36E91E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0CCC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C9725EE">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B41E26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eastAsia="宋体"/>
                <w:sz w:val="24"/>
                <w:szCs w:val="24"/>
                <w:vertAlign w:val="baseline"/>
                <w:lang w:val="en-US" w:eastAsia="zh-CN"/>
              </w:rPr>
              <w:t>易彬彬</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FDE7A29">
            <w:pPr>
              <w:spacing w:line="240" w:lineRule="exact"/>
              <w:ind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D848AB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CF9D90D">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34F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15AAEF4">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C548AF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eastAsia="宋体"/>
                <w:sz w:val="24"/>
                <w:szCs w:val="24"/>
                <w:vertAlign w:val="baseline"/>
                <w:lang w:val="en-US" w:eastAsia="zh-CN"/>
              </w:rPr>
              <w:t>吴历平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AE8B7BD">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0F6476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AED992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20C50639">
      <w:pPr>
        <w:rPr>
          <w:rFonts w:hint="default" w:ascii="Times New Roman" w:hAnsi="Times New Roman" w:cs="Times New Roman"/>
        </w:rPr>
      </w:pPr>
    </w:p>
    <w:p w14:paraId="445F618F">
      <w:pPr>
        <w:rPr>
          <w:rFonts w:hint="default" w:ascii="Times New Roman" w:hAnsi="Times New Roman" w:cs="Times New Roman"/>
        </w:rPr>
      </w:pPr>
    </w:p>
    <w:p w14:paraId="048A19D0">
      <w:pPr>
        <w:rPr>
          <w:rFonts w:hint="default" w:ascii="Times New Roman" w:hAnsi="Times New Roman" w:cs="Times New Roman"/>
        </w:rPr>
      </w:pPr>
    </w:p>
    <w:p w14:paraId="19578D05">
      <w:pPr>
        <w:rPr>
          <w:rFonts w:hint="default" w:ascii="Times New Roman" w:hAnsi="Times New Roman" w:cs="Times New Roman"/>
        </w:rPr>
      </w:pPr>
    </w:p>
    <w:p w14:paraId="11563025">
      <w:pPr>
        <w:rPr>
          <w:rFonts w:hint="default" w:ascii="Times New Roman" w:hAnsi="Times New Roman" w:cs="Times New Roman"/>
        </w:rPr>
      </w:pPr>
    </w:p>
    <w:p w14:paraId="565999EB">
      <w:pPr>
        <w:rPr>
          <w:rFonts w:hint="default" w:ascii="Times New Roman" w:hAnsi="Times New Roman" w:cs="Times New Roman"/>
        </w:rPr>
      </w:pPr>
    </w:p>
    <w:p w14:paraId="7F6CC946">
      <w:pPr>
        <w:rPr>
          <w:rFonts w:hint="default" w:ascii="Times New Roman" w:hAnsi="Times New Roman" w:cs="Times New Roman"/>
        </w:rPr>
      </w:pPr>
    </w:p>
    <w:p w14:paraId="405580A1">
      <w:pPr>
        <w:rPr>
          <w:rFonts w:hint="default" w:ascii="Times New Roman" w:hAnsi="Times New Roman" w:cs="Times New Roman"/>
        </w:rPr>
      </w:pPr>
    </w:p>
    <w:p w14:paraId="73E74493">
      <w:pPr>
        <w:rPr>
          <w:rFonts w:hint="default" w:ascii="Times New Roman" w:hAnsi="Times New Roman" w:cs="Times New Roman"/>
        </w:rPr>
      </w:pPr>
    </w:p>
    <w:p w14:paraId="51E272FB">
      <w:pPr>
        <w:rPr>
          <w:rFonts w:hint="default" w:ascii="Times New Roman" w:hAnsi="Times New Roman" w:cs="Times New Roman"/>
        </w:rPr>
      </w:pPr>
    </w:p>
    <w:p w14:paraId="7A6822B2">
      <w:pPr>
        <w:rPr>
          <w:rFonts w:hint="default" w:ascii="Times New Roman" w:hAnsi="Times New Roman" w:cs="Times New Roman"/>
        </w:rPr>
      </w:pPr>
    </w:p>
    <w:p w14:paraId="2AF04B55">
      <w:pPr>
        <w:rPr>
          <w:rFonts w:hint="default" w:ascii="Times New Roman" w:hAnsi="Times New Roman" w:cs="Times New Roman"/>
        </w:rPr>
      </w:pPr>
    </w:p>
    <w:p w14:paraId="310F721F">
      <w:pPr>
        <w:rPr>
          <w:rFonts w:hint="default" w:ascii="Times New Roman" w:hAnsi="Times New Roman" w:cs="Times New Roman"/>
        </w:rPr>
      </w:pPr>
    </w:p>
    <w:p w14:paraId="42A4B580">
      <w:pPr>
        <w:rPr>
          <w:rFonts w:hint="default" w:ascii="Times New Roman" w:hAnsi="Times New Roman" w:cs="Times New Roman"/>
        </w:rPr>
      </w:pPr>
    </w:p>
    <w:p w14:paraId="73F86F7A">
      <w:pPr>
        <w:rPr>
          <w:rFonts w:hint="default" w:ascii="Times New Roman" w:hAnsi="Times New Roman" w:cs="Times New Roman"/>
        </w:rPr>
      </w:pPr>
    </w:p>
    <w:p w14:paraId="41D95FD7">
      <w:pPr>
        <w:rPr>
          <w:rFonts w:hint="default" w:ascii="Times New Roman" w:hAnsi="Times New Roman" w:cs="Times New Roman"/>
        </w:rPr>
      </w:pPr>
    </w:p>
    <w:p w14:paraId="4159DC01">
      <w:pPr>
        <w:rPr>
          <w:rFonts w:hint="default" w:ascii="Times New Roman" w:hAnsi="Times New Roman" w:cs="Times New Roman"/>
        </w:rPr>
      </w:pPr>
    </w:p>
    <w:p w14:paraId="2006E2CD">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11EB3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6166F47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14:paraId="5869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187E51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011C89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D27D5E0">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84EF5A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BB9E130">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14:paraId="33A0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6196AFA">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7334E8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sz w:val="24"/>
                <w:szCs w:val="24"/>
                <w:vertAlign w:val="baseline"/>
                <w:lang w:val="en-US" w:eastAsia="zh-CN"/>
              </w:rPr>
              <w:t>孙露希</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131E7EA">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A965B1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sz w:val="24"/>
                <w:szCs w:val="24"/>
                <w:vertAlign w:val="baseline"/>
                <w:lang w:val="en-US" w:eastAsia="zh-CN"/>
              </w:rPr>
              <w:t>40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79E3BF6">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工程测量技术</w:t>
            </w:r>
          </w:p>
        </w:tc>
      </w:tr>
      <w:tr w14:paraId="69E5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4A63B4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7CBEF3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sz w:val="24"/>
                <w:szCs w:val="24"/>
                <w:vertAlign w:val="baseline"/>
                <w:lang w:val="en-US" w:eastAsia="zh-CN"/>
              </w:rPr>
              <w:t>綦  柯</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2854988">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FCE950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sz w:val="24"/>
                <w:szCs w:val="24"/>
                <w:vertAlign w:val="baseline"/>
                <w:lang w:val="en-US" w:eastAsia="zh-CN"/>
              </w:rPr>
              <w:t>30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9F63874">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土木工程</w:t>
            </w:r>
          </w:p>
        </w:tc>
      </w:tr>
    </w:tbl>
    <w:p w14:paraId="4C044830">
      <w:pPr>
        <w:rPr>
          <w:rFonts w:hint="default" w:ascii="Times New Roman" w:hAnsi="Times New Roman" w:cs="Times New Roman"/>
        </w:rPr>
      </w:pPr>
    </w:p>
    <w:p w14:paraId="5BDDED2A">
      <w:pPr>
        <w:rPr>
          <w:rFonts w:hint="default" w:ascii="Times New Roman" w:hAnsi="Times New Roman" w:cs="Times New Roman"/>
        </w:rPr>
      </w:pPr>
    </w:p>
    <w:p w14:paraId="293847AE">
      <w:pPr>
        <w:rPr>
          <w:rFonts w:hint="default" w:ascii="Times New Roman" w:hAnsi="Times New Roman" w:cs="Times New Roman"/>
        </w:rPr>
      </w:pPr>
    </w:p>
    <w:p w14:paraId="7187E282">
      <w:pPr>
        <w:rPr>
          <w:rFonts w:hint="default" w:ascii="Times New Roman" w:hAnsi="Times New Roman" w:cs="Times New Roman"/>
        </w:rPr>
      </w:pPr>
    </w:p>
    <w:p w14:paraId="2A837737">
      <w:pPr>
        <w:rPr>
          <w:rFonts w:hint="default" w:ascii="Times New Roman" w:hAnsi="Times New Roman" w:cs="Times New Roman"/>
        </w:rPr>
      </w:pPr>
    </w:p>
    <w:p w14:paraId="112AB80B">
      <w:pPr>
        <w:rPr>
          <w:rFonts w:hint="default" w:ascii="Times New Roman" w:hAnsi="Times New Roman" w:cs="Times New Roman"/>
        </w:rPr>
      </w:pPr>
    </w:p>
    <w:p w14:paraId="63E6169C">
      <w:pPr>
        <w:rPr>
          <w:rFonts w:hint="default" w:ascii="Times New Roman" w:hAnsi="Times New Roman" w:cs="Times New Roman"/>
        </w:rPr>
      </w:pPr>
    </w:p>
    <w:p w14:paraId="6B58BA56">
      <w:pPr>
        <w:rPr>
          <w:rFonts w:hint="default" w:ascii="Times New Roman" w:hAnsi="Times New Roman" w:cs="Times New Roman"/>
        </w:rPr>
      </w:pPr>
    </w:p>
    <w:p w14:paraId="35AD3055">
      <w:pPr>
        <w:rPr>
          <w:rFonts w:hint="default" w:ascii="Times New Roman" w:hAnsi="Times New Roman" w:cs="Times New Roman"/>
        </w:rPr>
      </w:pPr>
    </w:p>
    <w:p w14:paraId="56574B05">
      <w:pPr>
        <w:rPr>
          <w:rFonts w:hint="default" w:ascii="Times New Roman" w:hAnsi="Times New Roman" w:cs="Times New Roman"/>
        </w:rPr>
      </w:pPr>
    </w:p>
    <w:p w14:paraId="30F37D6B">
      <w:pPr>
        <w:rPr>
          <w:rFonts w:hint="default" w:ascii="Times New Roman" w:hAnsi="Times New Roman" w:cs="Times New Roman"/>
        </w:rPr>
      </w:pPr>
    </w:p>
    <w:p w14:paraId="5CCDE911">
      <w:pPr>
        <w:rPr>
          <w:rFonts w:hint="default" w:ascii="Times New Roman" w:hAnsi="Times New Roman" w:cs="Times New Roman"/>
        </w:rPr>
      </w:pPr>
    </w:p>
    <w:p w14:paraId="16ED418E">
      <w:pPr>
        <w:rPr>
          <w:rFonts w:hint="default" w:ascii="Times New Roman" w:hAnsi="Times New Roman" w:cs="Times New Roman"/>
        </w:rPr>
      </w:pPr>
    </w:p>
    <w:p w14:paraId="6E95C6AF">
      <w:pPr>
        <w:rPr>
          <w:rFonts w:hint="default" w:ascii="Times New Roman" w:hAnsi="Times New Roman" w:cs="Times New Roman"/>
        </w:rPr>
      </w:pPr>
    </w:p>
    <w:p w14:paraId="32B27FE2">
      <w:pPr>
        <w:rPr>
          <w:rFonts w:hint="default" w:ascii="Times New Roman" w:hAnsi="Times New Roman" w:cs="Times New Roman"/>
        </w:rPr>
      </w:pPr>
    </w:p>
    <w:p w14:paraId="721CC162">
      <w:pPr>
        <w:rPr>
          <w:rFonts w:hint="default" w:ascii="Times New Roman" w:hAnsi="Times New Roman" w:cs="Times New Roman"/>
        </w:rPr>
      </w:pPr>
    </w:p>
    <w:p w14:paraId="267F0ED9">
      <w:pPr>
        <w:rPr>
          <w:rFonts w:hint="default" w:ascii="Times New Roman" w:hAnsi="Times New Roman" w:cs="Times New Roman"/>
        </w:rPr>
      </w:pPr>
    </w:p>
    <w:p w14:paraId="7E2A7A84">
      <w:pPr>
        <w:rPr>
          <w:rFonts w:hint="default" w:ascii="Times New Roman" w:hAnsi="Times New Roman" w:cs="Times New Roman"/>
        </w:rPr>
      </w:pPr>
    </w:p>
    <w:p w14:paraId="0724D12D">
      <w:pPr>
        <w:keepNext w:val="0"/>
        <w:keepLines w:val="0"/>
        <w:pageBreakBefore w:val="0"/>
        <w:kinsoku/>
        <w:wordWrap/>
        <w:overflowPunct/>
        <w:topLinePunct w:val="0"/>
        <w:autoSpaceDE/>
        <w:autoSpaceDN/>
        <w:bidi w:val="0"/>
        <w:adjustRightInd/>
        <w:snapToGrid/>
        <w:spacing w:line="240" w:lineRule="atLeast"/>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0"/>
        <w:gridCol w:w="6555"/>
        <w:gridCol w:w="5032"/>
        <w:gridCol w:w="1256"/>
      </w:tblGrid>
      <w:tr w14:paraId="3AE0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320" w:type="dxa"/>
            <w:tcBorders>
              <w:top w:val="single" w:color="auto" w:sz="4" w:space="0"/>
              <w:left w:val="single" w:color="auto" w:sz="4" w:space="0"/>
              <w:bottom w:val="single" w:color="auto" w:sz="4" w:space="0"/>
              <w:right w:val="single" w:color="auto" w:sz="4" w:space="0"/>
            </w:tcBorders>
            <w:noWrap w:val="0"/>
            <w:vAlign w:val="center"/>
          </w:tcPr>
          <w:p w14:paraId="6777BA21">
            <w:pPr>
              <w:keepNext w:val="0"/>
              <w:keepLines w:val="0"/>
              <w:pageBreakBefore w:val="0"/>
              <w:kinsoku/>
              <w:wordWrap/>
              <w:overflowPunct/>
              <w:topLinePunct w:val="0"/>
              <w:autoSpaceDE/>
              <w:autoSpaceDN/>
              <w:bidi w:val="0"/>
              <w:adjustRightInd/>
              <w:snapToGrid/>
              <w:spacing w:line="240" w:lineRule="atLeast"/>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6555" w:type="dxa"/>
            <w:tcBorders>
              <w:top w:val="single" w:color="auto" w:sz="4" w:space="0"/>
              <w:left w:val="single" w:color="auto" w:sz="4" w:space="0"/>
              <w:bottom w:val="single" w:color="auto" w:sz="4" w:space="0"/>
              <w:right w:val="single" w:color="auto" w:sz="4" w:space="0"/>
            </w:tcBorders>
            <w:noWrap w:val="0"/>
            <w:vAlign w:val="center"/>
          </w:tcPr>
          <w:p w14:paraId="519B0B49">
            <w:pPr>
              <w:keepNext w:val="0"/>
              <w:keepLines w:val="0"/>
              <w:pageBreakBefore w:val="0"/>
              <w:kinsoku/>
              <w:wordWrap/>
              <w:overflowPunct/>
              <w:topLinePunct w:val="0"/>
              <w:autoSpaceDE/>
              <w:autoSpaceDN/>
              <w:bidi w:val="0"/>
              <w:adjustRightInd/>
              <w:snapToGrid/>
              <w:spacing w:line="240" w:lineRule="atLeast"/>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032" w:type="dxa"/>
            <w:tcBorders>
              <w:top w:val="single" w:color="auto" w:sz="4" w:space="0"/>
              <w:left w:val="single" w:color="auto" w:sz="4" w:space="0"/>
              <w:bottom w:val="single" w:color="auto" w:sz="4" w:space="0"/>
              <w:right w:val="single" w:color="auto" w:sz="4" w:space="0"/>
            </w:tcBorders>
            <w:noWrap w:val="0"/>
            <w:vAlign w:val="center"/>
          </w:tcPr>
          <w:p w14:paraId="423BF631">
            <w:pPr>
              <w:keepNext w:val="0"/>
              <w:keepLines w:val="0"/>
              <w:pageBreakBefore w:val="0"/>
              <w:kinsoku/>
              <w:wordWrap/>
              <w:overflowPunct/>
              <w:topLinePunct w:val="0"/>
              <w:autoSpaceDE/>
              <w:autoSpaceDN/>
              <w:bidi w:val="0"/>
              <w:adjustRightInd/>
              <w:snapToGrid/>
              <w:spacing w:line="240" w:lineRule="atLeast"/>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B762FC5">
            <w:pPr>
              <w:keepNext w:val="0"/>
              <w:keepLines w:val="0"/>
              <w:pageBreakBefore w:val="0"/>
              <w:kinsoku/>
              <w:wordWrap/>
              <w:overflowPunct/>
              <w:topLinePunct w:val="0"/>
              <w:autoSpaceDE/>
              <w:autoSpaceDN/>
              <w:bidi w:val="0"/>
              <w:adjustRightInd/>
              <w:snapToGrid/>
              <w:spacing w:line="240" w:lineRule="atLeast"/>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1C47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320" w:type="dxa"/>
            <w:tcBorders>
              <w:top w:val="single" w:color="auto" w:sz="4" w:space="0"/>
              <w:left w:val="single" w:color="auto" w:sz="4" w:space="0"/>
              <w:bottom w:val="single" w:color="auto" w:sz="4" w:space="0"/>
              <w:right w:val="single" w:color="auto" w:sz="4" w:space="0"/>
            </w:tcBorders>
            <w:noWrap w:val="0"/>
            <w:vAlign w:val="center"/>
          </w:tcPr>
          <w:p w14:paraId="5B0AB70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65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B8A769">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fldChar w:fldCharType="begin"/>
            </w:r>
            <w:r>
              <w:rPr>
                <w:rFonts w:hint="eastAsia" w:ascii="宋体" w:hAnsi="宋体" w:eastAsia="宋体" w:cs="宋体"/>
                <w:sz w:val="24"/>
                <w:szCs w:val="24"/>
                <w:vertAlign w:val="baseline"/>
                <w:lang w:val="en-US" w:eastAsia="zh-CN"/>
              </w:rPr>
              <w:instrText xml:space="preserve"> HYPERLINK "javascript:__doPostBack('GvData$ctl02$Link_EquipmentName','')" </w:instrText>
            </w:r>
            <w:r>
              <w:rPr>
                <w:rFonts w:hint="eastAsia" w:ascii="宋体" w:hAnsi="宋体" w:eastAsia="宋体" w:cs="宋体"/>
                <w:sz w:val="24"/>
                <w:szCs w:val="24"/>
                <w:vertAlign w:val="baseline"/>
                <w:lang w:val="en-US" w:eastAsia="zh-CN"/>
              </w:rPr>
              <w:fldChar w:fldCharType="separate"/>
            </w:r>
            <w:r>
              <w:rPr>
                <w:rFonts w:hint="eastAsia" w:ascii="宋体" w:hAnsi="宋体" w:eastAsia="宋体" w:cs="宋体"/>
                <w:sz w:val="24"/>
                <w:szCs w:val="24"/>
                <w:vertAlign w:val="baseline"/>
                <w:lang w:val="en-US" w:eastAsia="zh-CN"/>
              </w:rPr>
              <w:t>全站仪（不低于2秒级精度）</w:t>
            </w:r>
            <w:r>
              <w:rPr>
                <w:rFonts w:hint="eastAsia" w:ascii="宋体" w:hAnsi="宋体" w:eastAsia="宋体" w:cs="宋体"/>
                <w:sz w:val="24"/>
                <w:szCs w:val="24"/>
                <w:vertAlign w:val="baseline"/>
                <w:lang w:val="en-US" w:eastAsia="zh-CN"/>
              </w:rPr>
              <w:fldChar w:fldCharType="end"/>
            </w:r>
          </w:p>
        </w:tc>
        <w:tc>
          <w:tcPr>
            <w:tcW w:w="5032" w:type="dxa"/>
            <w:tcBorders>
              <w:top w:val="single" w:color="auto" w:sz="4" w:space="0"/>
              <w:left w:val="single" w:color="auto" w:sz="4" w:space="0"/>
              <w:bottom w:val="single" w:color="auto" w:sz="4" w:space="0"/>
              <w:right w:val="single" w:color="auto" w:sz="4" w:space="0"/>
            </w:tcBorders>
            <w:noWrap w:val="0"/>
            <w:vAlign w:val="center"/>
          </w:tcPr>
          <w:p w14:paraId="0578CD8E">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阿尔法Ｔ</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5FBE4A7">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r>
      <w:tr w14:paraId="6A2F3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320" w:type="dxa"/>
            <w:tcBorders>
              <w:top w:val="single" w:color="auto" w:sz="4" w:space="0"/>
              <w:left w:val="single" w:color="auto" w:sz="4" w:space="0"/>
              <w:bottom w:val="single" w:color="auto" w:sz="4" w:space="0"/>
              <w:right w:val="single" w:color="auto" w:sz="4" w:space="0"/>
            </w:tcBorders>
            <w:noWrap w:val="0"/>
            <w:vAlign w:val="center"/>
          </w:tcPr>
          <w:p w14:paraId="566D95B5">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6555" w:type="dxa"/>
            <w:tcBorders>
              <w:top w:val="single" w:color="auto" w:sz="4" w:space="0"/>
              <w:left w:val="single" w:color="auto" w:sz="4" w:space="0"/>
              <w:bottom w:val="single" w:color="auto" w:sz="4" w:space="0"/>
              <w:right w:val="single" w:color="auto" w:sz="4" w:space="0"/>
            </w:tcBorders>
            <w:noWrap w:val="0"/>
            <w:vAlign w:val="center"/>
          </w:tcPr>
          <w:p w14:paraId="304D0B71">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fldChar w:fldCharType="begin"/>
            </w:r>
            <w:r>
              <w:rPr>
                <w:rFonts w:hint="eastAsia" w:ascii="宋体" w:hAnsi="宋体" w:eastAsia="宋体" w:cs="宋体"/>
                <w:sz w:val="24"/>
                <w:szCs w:val="24"/>
                <w:vertAlign w:val="baseline"/>
                <w:lang w:val="en-US" w:eastAsia="zh-CN"/>
              </w:rPr>
              <w:instrText xml:space="preserve"> HYPERLINK "javascript:__doPostBack('GvData$ctl05$Link_EquipmentName','')" </w:instrText>
            </w:r>
            <w:r>
              <w:rPr>
                <w:rFonts w:hint="eastAsia" w:ascii="宋体" w:hAnsi="宋体" w:eastAsia="宋体" w:cs="宋体"/>
                <w:sz w:val="24"/>
                <w:szCs w:val="24"/>
                <w:vertAlign w:val="baseline"/>
                <w:lang w:val="en-US" w:eastAsia="zh-CN"/>
              </w:rPr>
              <w:fldChar w:fldCharType="separate"/>
            </w:r>
            <w:r>
              <w:rPr>
                <w:rFonts w:hint="eastAsia" w:ascii="宋体" w:hAnsi="宋体" w:eastAsia="宋体" w:cs="宋体"/>
                <w:sz w:val="24"/>
                <w:szCs w:val="24"/>
                <w:vertAlign w:val="baseline"/>
                <w:lang w:val="en-US" w:eastAsia="zh-CN"/>
              </w:rPr>
              <w:t>GNSS接收机（不低于5mm+1ppm精度）</w:t>
            </w:r>
            <w:r>
              <w:rPr>
                <w:rFonts w:hint="eastAsia" w:ascii="宋体" w:hAnsi="宋体" w:eastAsia="宋体" w:cs="宋体"/>
                <w:sz w:val="24"/>
                <w:szCs w:val="24"/>
                <w:vertAlign w:val="baseline"/>
                <w:lang w:val="en-US" w:eastAsia="zh-CN"/>
              </w:rPr>
              <w:fldChar w:fldCharType="end"/>
            </w:r>
          </w:p>
        </w:tc>
        <w:tc>
          <w:tcPr>
            <w:tcW w:w="5032" w:type="dxa"/>
            <w:tcBorders>
              <w:top w:val="single" w:color="auto" w:sz="4" w:space="0"/>
              <w:left w:val="single" w:color="auto" w:sz="4" w:space="0"/>
              <w:bottom w:val="single" w:color="auto" w:sz="4" w:space="0"/>
              <w:right w:val="single" w:color="auto" w:sz="4" w:space="0"/>
            </w:tcBorders>
            <w:noWrap w:val="0"/>
            <w:vAlign w:val="center"/>
          </w:tcPr>
          <w:p w14:paraId="5C5CE01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千寻SR3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6262CB5">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r>
      <w:tr w14:paraId="7CCA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320" w:type="dxa"/>
            <w:tcBorders>
              <w:top w:val="single" w:color="auto" w:sz="4" w:space="0"/>
              <w:left w:val="single" w:color="auto" w:sz="4" w:space="0"/>
              <w:bottom w:val="single" w:color="auto" w:sz="4" w:space="0"/>
              <w:right w:val="single" w:color="auto" w:sz="4" w:space="0"/>
            </w:tcBorders>
            <w:noWrap w:val="0"/>
            <w:vAlign w:val="center"/>
          </w:tcPr>
          <w:p w14:paraId="3C4DE36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6555" w:type="dxa"/>
            <w:tcBorders>
              <w:top w:val="single" w:color="auto" w:sz="4" w:space="0"/>
              <w:left w:val="single" w:color="auto" w:sz="4" w:space="0"/>
              <w:bottom w:val="single" w:color="auto" w:sz="4" w:space="0"/>
              <w:right w:val="single" w:color="auto" w:sz="4" w:space="0"/>
            </w:tcBorders>
            <w:noWrap w:val="0"/>
            <w:vAlign w:val="center"/>
          </w:tcPr>
          <w:p w14:paraId="41468E37">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fldChar w:fldCharType="begin"/>
            </w:r>
            <w:r>
              <w:rPr>
                <w:rFonts w:hint="eastAsia" w:ascii="宋体" w:hAnsi="宋体" w:eastAsia="宋体" w:cs="宋体"/>
                <w:sz w:val="24"/>
                <w:szCs w:val="24"/>
                <w:vertAlign w:val="baseline"/>
                <w:lang w:val="en-US" w:eastAsia="zh-CN"/>
              </w:rPr>
              <w:instrText xml:space="preserve"> HYPERLINK "javascript:__doPostBack('GvData$ctl04$Link_EquipmentName','')" </w:instrText>
            </w:r>
            <w:r>
              <w:rPr>
                <w:rFonts w:hint="eastAsia" w:ascii="宋体" w:hAnsi="宋体" w:eastAsia="宋体" w:cs="宋体"/>
                <w:sz w:val="24"/>
                <w:szCs w:val="24"/>
                <w:vertAlign w:val="baseline"/>
                <w:lang w:val="en-US" w:eastAsia="zh-CN"/>
              </w:rPr>
              <w:fldChar w:fldCharType="separate"/>
            </w:r>
            <w:r>
              <w:rPr>
                <w:rFonts w:hint="eastAsia" w:ascii="宋体" w:hAnsi="宋体" w:eastAsia="宋体" w:cs="宋体"/>
                <w:sz w:val="24"/>
                <w:szCs w:val="24"/>
                <w:vertAlign w:val="baseline"/>
                <w:lang w:val="en-US" w:eastAsia="zh-CN"/>
              </w:rPr>
              <w:t>GNSS接收机（不低于5mm+1ppm精度</w:t>
            </w:r>
            <w:r>
              <w:rPr>
                <w:rFonts w:hint="eastAsia" w:ascii="宋体" w:hAnsi="宋体" w:eastAsia="宋体" w:cs="宋体"/>
                <w:sz w:val="24"/>
                <w:szCs w:val="24"/>
                <w:vertAlign w:val="baseline"/>
                <w:lang w:val="en-US" w:eastAsia="zh-CN"/>
              </w:rPr>
              <w:fldChar w:fldCharType="end"/>
            </w:r>
          </w:p>
        </w:tc>
        <w:tc>
          <w:tcPr>
            <w:tcW w:w="5032" w:type="dxa"/>
            <w:tcBorders>
              <w:top w:val="single" w:color="auto" w:sz="4" w:space="0"/>
              <w:left w:val="single" w:color="auto" w:sz="4" w:space="0"/>
              <w:bottom w:val="single" w:color="auto" w:sz="4" w:space="0"/>
              <w:right w:val="single" w:color="auto" w:sz="4" w:space="0"/>
            </w:tcBorders>
            <w:noWrap w:val="0"/>
            <w:vAlign w:val="center"/>
          </w:tcPr>
          <w:p w14:paraId="04320991">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华测M3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097CCE3">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r>
      <w:tr w14:paraId="6FBB1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320" w:type="dxa"/>
            <w:tcBorders>
              <w:top w:val="single" w:color="auto" w:sz="4" w:space="0"/>
              <w:left w:val="single" w:color="auto" w:sz="4" w:space="0"/>
              <w:bottom w:val="single" w:color="auto" w:sz="4" w:space="0"/>
              <w:right w:val="single" w:color="auto" w:sz="4" w:space="0"/>
            </w:tcBorders>
            <w:noWrap w:val="0"/>
            <w:vAlign w:val="center"/>
          </w:tcPr>
          <w:p w14:paraId="13C2565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w:t>
            </w:r>
          </w:p>
        </w:tc>
        <w:tc>
          <w:tcPr>
            <w:tcW w:w="6555" w:type="dxa"/>
            <w:tcBorders>
              <w:top w:val="single" w:color="auto" w:sz="4" w:space="0"/>
              <w:left w:val="single" w:color="auto" w:sz="4" w:space="0"/>
              <w:bottom w:val="single" w:color="auto" w:sz="4" w:space="0"/>
              <w:right w:val="single" w:color="auto" w:sz="4" w:space="0"/>
            </w:tcBorders>
            <w:noWrap w:val="0"/>
            <w:vAlign w:val="center"/>
          </w:tcPr>
          <w:p w14:paraId="5037C75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fldChar w:fldCharType="begin"/>
            </w:r>
            <w:r>
              <w:rPr>
                <w:rFonts w:hint="eastAsia" w:ascii="宋体" w:hAnsi="宋体" w:eastAsia="宋体" w:cs="宋体"/>
                <w:sz w:val="24"/>
                <w:szCs w:val="24"/>
                <w:vertAlign w:val="baseline"/>
                <w:lang w:val="en-US" w:eastAsia="zh-CN"/>
              </w:rPr>
              <w:instrText xml:space="preserve"> HYPERLINK "javascript:__doPostBack('GvData$ctl03$Link_EquipmentName','')" </w:instrText>
            </w:r>
            <w:r>
              <w:rPr>
                <w:rFonts w:hint="eastAsia" w:ascii="宋体" w:hAnsi="宋体" w:eastAsia="宋体" w:cs="宋体"/>
                <w:sz w:val="24"/>
                <w:szCs w:val="24"/>
                <w:vertAlign w:val="baseline"/>
                <w:lang w:val="en-US" w:eastAsia="zh-CN"/>
              </w:rPr>
              <w:fldChar w:fldCharType="separate"/>
            </w:r>
            <w:r>
              <w:rPr>
                <w:rFonts w:hint="eastAsia" w:ascii="宋体" w:hAnsi="宋体" w:eastAsia="宋体" w:cs="宋体"/>
                <w:sz w:val="24"/>
                <w:szCs w:val="24"/>
                <w:vertAlign w:val="baseline"/>
                <w:lang w:val="en-US" w:eastAsia="zh-CN"/>
              </w:rPr>
              <w:t>水准仪（不低于S1级精度）</w:t>
            </w:r>
            <w:r>
              <w:rPr>
                <w:rFonts w:hint="eastAsia" w:ascii="宋体" w:hAnsi="宋体" w:eastAsia="宋体" w:cs="宋体"/>
                <w:sz w:val="24"/>
                <w:szCs w:val="24"/>
                <w:vertAlign w:val="baseline"/>
                <w:lang w:val="en-US" w:eastAsia="zh-CN"/>
              </w:rPr>
              <w:fldChar w:fldCharType="end"/>
            </w:r>
          </w:p>
        </w:tc>
        <w:tc>
          <w:tcPr>
            <w:tcW w:w="5032" w:type="dxa"/>
            <w:tcBorders>
              <w:top w:val="single" w:color="auto" w:sz="4" w:space="0"/>
              <w:left w:val="single" w:color="auto" w:sz="4" w:space="0"/>
              <w:bottom w:val="single" w:color="auto" w:sz="4" w:space="0"/>
              <w:right w:val="single" w:color="auto" w:sz="4" w:space="0"/>
            </w:tcBorders>
            <w:noWrap w:val="0"/>
            <w:vAlign w:val="center"/>
          </w:tcPr>
          <w:p w14:paraId="4B8CCA0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苏州一光EL302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B6973D3">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r>
      <w:tr w14:paraId="5081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320" w:type="dxa"/>
            <w:tcBorders>
              <w:top w:val="single" w:color="auto" w:sz="4" w:space="0"/>
              <w:left w:val="single" w:color="auto" w:sz="4" w:space="0"/>
              <w:bottom w:val="single" w:color="auto" w:sz="4" w:space="0"/>
              <w:right w:val="single" w:color="auto" w:sz="4" w:space="0"/>
            </w:tcBorders>
            <w:noWrap w:val="0"/>
            <w:vAlign w:val="center"/>
          </w:tcPr>
          <w:p w14:paraId="476C930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5</w:t>
            </w:r>
          </w:p>
        </w:tc>
        <w:tc>
          <w:tcPr>
            <w:tcW w:w="6555" w:type="dxa"/>
            <w:tcBorders>
              <w:top w:val="single" w:color="auto" w:sz="4" w:space="0"/>
              <w:left w:val="single" w:color="auto" w:sz="4" w:space="0"/>
              <w:bottom w:val="single" w:color="auto" w:sz="4" w:space="0"/>
              <w:right w:val="single" w:color="auto" w:sz="4" w:space="0"/>
            </w:tcBorders>
            <w:noWrap w:val="0"/>
            <w:vAlign w:val="center"/>
          </w:tcPr>
          <w:p w14:paraId="111C319D">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fldChar w:fldCharType="begin"/>
            </w:r>
            <w:r>
              <w:rPr>
                <w:rFonts w:hint="eastAsia" w:ascii="宋体" w:hAnsi="宋体" w:eastAsia="宋体" w:cs="宋体"/>
                <w:sz w:val="24"/>
                <w:szCs w:val="24"/>
                <w:vertAlign w:val="baseline"/>
                <w:lang w:val="en-US" w:eastAsia="zh-CN"/>
              </w:rPr>
              <w:instrText xml:space="preserve"> HYPERLINK "javascript:__doPostBack('GvData$ctl06$Link_EquipmentName','')" </w:instrText>
            </w:r>
            <w:r>
              <w:rPr>
                <w:rFonts w:hint="eastAsia" w:ascii="宋体" w:hAnsi="宋体" w:eastAsia="宋体" w:cs="宋体"/>
                <w:sz w:val="24"/>
                <w:szCs w:val="24"/>
                <w:vertAlign w:val="baseline"/>
                <w:lang w:val="en-US" w:eastAsia="zh-CN"/>
              </w:rPr>
              <w:fldChar w:fldCharType="separate"/>
            </w:r>
            <w:r>
              <w:rPr>
                <w:rFonts w:hint="eastAsia" w:ascii="宋体" w:hAnsi="宋体" w:eastAsia="宋体" w:cs="宋体"/>
                <w:sz w:val="24"/>
                <w:szCs w:val="24"/>
                <w:vertAlign w:val="baseline"/>
                <w:lang w:val="en-US" w:eastAsia="zh-CN"/>
              </w:rPr>
              <w:t>手持测距仪</w:t>
            </w:r>
            <w:r>
              <w:rPr>
                <w:rFonts w:hint="eastAsia" w:ascii="宋体" w:hAnsi="宋体" w:eastAsia="宋体" w:cs="宋体"/>
                <w:sz w:val="24"/>
                <w:szCs w:val="24"/>
                <w:vertAlign w:val="baseline"/>
                <w:lang w:val="en-US" w:eastAsia="zh-CN"/>
              </w:rPr>
              <w:fldChar w:fldCharType="end"/>
            </w:r>
          </w:p>
        </w:tc>
        <w:tc>
          <w:tcPr>
            <w:tcW w:w="5032" w:type="dxa"/>
            <w:tcBorders>
              <w:top w:val="single" w:color="auto" w:sz="4" w:space="0"/>
              <w:left w:val="single" w:color="auto" w:sz="4" w:space="0"/>
              <w:bottom w:val="single" w:color="auto" w:sz="4" w:space="0"/>
              <w:right w:val="single" w:color="auto" w:sz="4" w:space="0"/>
            </w:tcBorders>
            <w:noWrap w:val="0"/>
            <w:vAlign w:val="center"/>
          </w:tcPr>
          <w:p w14:paraId="53FAD9D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深达威SW-G60A</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9EF623C">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r>
      <w:tr w14:paraId="3068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320" w:type="dxa"/>
            <w:tcBorders>
              <w:top w:val="single" w:color="auto" w:sz="4" w:space="0"/>
              <w:left w:val="single" w:color="auto" w:sz="4" w:space="0"/>
              <w:bottom w:val="single" w:color="auto" w:sz="4" w:space="0"/>
              <w:right w:val="single" w:color="auto" w:sz="4" w:space="0"/>
            </w:tcBorders>
            <w:noWrap w:val="0"/>
            <w:vAlign w:val="center"/>
          </w:tcPr>
          <w:p w14:paraId="1B80C53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6</w:t>
            </w:r>
          </w:p>
        </w:tc>
        <w:tc>
          <w:tcPr>
            <w:tcW w:w="6555" w:type="dxa"/>
            <w:tcBorders>
              <w:top w:val="single" w:color="auto" w:sz="4" w:space="0"/>
              <w:left w:val="single" w:color="auto" w:sz="4" w:space="0"/>
              <w:bottom w:val="single" w:color="auto" w:sz="4" w:space="0"/>
              <w:right w:val="single" w:color="auto" w:sz="4" w:space="0"/>
            </w:tcBorders>
            <w:noWrap w:val="0"/>
            <w:vAlign w:val="center"/>
          </w:tcPr>
          <w:p w14:paraId="4F1D82E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fldChar w:fldCharType="begin"/>
            </w:r>
            <w:r>
              <w:rPr>
                <w:rFonts w:hint="eastAsia" w:ascii="宋体" w:hAnsi="宋体" w:eastAsia="宋体" w:cs="宋体"/>
                <w:sz w:val="24"/>
                <w:szCs w:val="24"/>
                <w:vertAlign w:val="baseline"/>
                <w:lang w:val="en-US" w:eastAsia="zh-CN"/>
              </w:rPr>
              <w:instrText xml:space="preserve"> HYPERLINK "javascript:__doPostBack('GvData$ctl07$Link_EquipmentName','')" </w:instrText>
            </w:r>
            <w:r>
              <w:rPr>
                <w:rFonts w:hint="eastAsia" w:ascii="宋体" w:hAnsi="宋体" w:eastAsia="宋体" w:cs="宋体"/>
                <w:sz w:val="24"/>
                <w:szCs w:val="24"/>
                <w:vertAlign w:val="baseline"/>
                <w:lang w:val="en-US" w:eastAsia="zh-CN"/>
              </w:rPr>
              <w:fldChar w:fldCharType="separate"/>
            </w:r>
            <w:r>
              <w:rPr>
                <w:rFonts w:hint="eastAsia" w:ascii="宋体" w:hAnsi="宋体" w:eastAsia="宋体" w:cs="宋体"/>
                <w:sz w:val="24"/>
                <w:szCs w:val="24"/>
                <w:vertAlign w:val="baseline"/>
                <w:lang w:val="en-US" w:eastAsia="zh-CN"/>
              </w:rPr>
              <w:t>地下管线探测仪</w:t>
            </w:r>
            <w:r>
              <w:rPr>
                <w:rFonts w:hint="eastAsia" w:ascii="宋体" w:hAnsi="宋体" w:eastAsia="宋体" w:cs="宋体"/>
                <w:sz w:val="24"/>
                <w:szCs w:val="24"/>
                <w:vertAlign w:val="baseline"/>
                <w:lang w:val="en-US" w:eastAsia="zh-CN"/>
              </w:rPr>
              <w:fldChar w:fldCharType="end"/>
            </w:r>
          </w:p>
        </w:tc>
        <w:tc>
          <w:tcPr>
            <w:tcW w:w="5032" w:type="dxa"/>
            <w:tcBorders>
              <w:top w:val="single" w:color="auto" w:sz="4" w:space="0"/>
              <w:left w:val="single" w:color="auto" w:sz="4" w:space="0"/>
              <w:bottom w:val="single" w:color="auto" w:sz="4" w:space="0"/>
              <w:right w:val="single" w:color="auto" w:sz="4" w:space="0"/>
            </w:tcBorders>
            <w:noWrap w:val="0"/>
            <w:vAlign w:val="center"/>
          </w:tcPr>
          <w:p w14:paraId="53366A27">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RADIODETEC 8100PXL</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18B8570">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r>
    </w:tbl>
    <w:p w14:paraId="0E822E78">
      <w:pPr>
        <w:jc w:val="center"/>
        <w:rPr>
          <w:rFonts w:hint="default" w:ascii="Times New Roman" w:hAnsi="Times New Roman" w:cs="Times New Roman"/>
          <w:b/>
          <w:sz w:val="44"/>
          <w:szCs w:val="44"/>
        </w:rPr>
      </w:pPr>
    </w:p>
    <w:p w14:paraId="0CF528BF">
      <w:pPr>
        <w:jc w:val="center"/>
        <w:rPr>
          <w:rFonts w:hint="default" w:ascii="Times New Roman" w:hAnsi="Times New Roman" w:cs="Times New Roman"/>
          <w:b/>
          <w:sz w:val="44"/>
          <w:szCs w:val="44"/>
        </w:rPr>
      </w:pPr>
    </w:p>
    <w:p w14:paraId="3B8431DA">
      <w:pPr>
        <w:jc w:val="center"/>
        <w:rPr>
          <w:rFonts w:hint="default" w:ascii="Times New Roman" w:hAnsi="Times New Roman" w:cs="Times New Roman"/>
          <w:b/>
          <w:sz w:val="44"/>
          <w:szCs w:val="44"/>
        </w:rPr>
      </w:pPr>
    </w:p>
    <w:p w14:paraId="46A9E691">
      <w:pPr>
        <w:jc w:val="both"/>
        <w:rPr>
          <w:rFonts w:hint="eastAsia" w:ascii="方正小标宋_GBK" w:hAnsi="方正小标宋_GBK" w:eastAsia="方正小标宋_GBK" w:cs="方正小标宋_GBK"/>
          <w:b w:val="0"/>
          <w:bCs w:val="0"/>
          <w:sz w:val="36"/>
          <w:szCs w:val="36"/>
          <w:lang w:bidi="ar"/>
        </w:rPr>
      </w:pPr>
    </w:p>
    <w:p w14:paraId="3610C7AE">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方正小标宋_GBK" w:hAnsi="方正小标宋_GBK" w:eastAsia="方正小标宋_GBK" w:cs="方正小标宋_GBK"/>
          <w:b w:val="0"/>
          <w:bCs w:val="0"/>
          <w:sz w:val="36"/>
          <w:szCs w:val="36"/>
          <w:lang w:bidi="ar"/>
        </w:rPr>
      </w:pPr>
    </w:p>
    <w:p w14:paraId="2E112DF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563EC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EF9155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sz w:val="24"/>
                <w:szCs w:val="24"/>
                <w:lang w:bidi="ar"/>
              </w:rPr>
            </w:pPr>
            <w:bookmarkStart w:id="0" w:name="_GoBack"/>
            <w:r>
              <w:rPr>
                <w:rFonts w:hint="eastAsia" w:ascii="黑体" w:hAnsi="黑体" w:eastAsia="黑体" w:cs="黑体"/>
                <w:b w:val="0"/>
                <w:bCs/>
                <w:sz w:val="24"/>
                <w:szCs w:val="24"/>
                <w:lang w:bidi="ar"/>
              </w:rPr>
              <w:t>序号</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B6F79B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94A170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044F585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049193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368631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3A161B5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3589FB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37BC569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435EAB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72AE8DB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06F9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FF44FA6">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210B82A">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苏家坪停车场项目土地分户测绘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1B7D670">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该项目位于涟源市湄江风景管理区苏家村，本项目是对苏家坪停车场项目进行土地分户测量，并绘制施工区现状图</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AA6573C">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E058C9D">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0.4500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6EB3B7A">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2022-01-28</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7AFA376F">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涟源市力源旅游建设投资有限公司</w:t>
            </w:r>
          </w:p>
        </w:tc>
      </w:tr>
      <w:tr w14:paraId="75DF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D4B286C">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2BC57D4">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涟源市人民医院桥头河分院综合楼实测测绘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508E60E">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该项目位于涟源市桥头河镇，工作内容是对涟源市人民医院桥头河分院综合楼项目进行地籍测绘、房产测绘，出具规划验收报告，宗地图，不动产测绘报告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D996802">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0835259">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2.7240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082DADC">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2023-06-22</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A9315FA">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涟源市人民医院桥头河分院</w:t>
            </w:r>
          </w:p>
        </w:tc>
      </w:tr>
      <w:tr w14:paraId="7D002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F3F8FB1">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909858C">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涟源市第一中学教学用房建设项目测绘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2D9910B">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该项目位于涟源市蓝田办事处光明山社区涟源市第一中学内，测绘内容是对涟源市第一中学教学用房建设项目进行了地籍测绘、房产测绘，规划验收测绘，出具了规划验收报告、宗地图、不动产测绘报告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E795A83">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4D56A1C">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2.2557</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DAE7EAF">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2024-09-20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044CC65">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涟源市第一中学</w:t>
            </w:r>
          </w:p>
        </w:tc>
      </w:tr>
      <w:tr w14:paraId="65D95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222F3A3">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55DF5AA">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涟源市涟水北岸1#楼、2#楼测绘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15FCD1F">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该项目位于涟源市娄底高新区人和社区，对涟源市涟水北岸1#楼、2#楼进行了地籍测绘、房产测绘，规划验收测绘，出具宗地图、规划验收报告、不动产测绘报告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A34AD13">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F9E0A68">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278B661">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2024-09-25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55F1526">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涟源佳普电子科技园有限公司</w:t>
            </w:r>
          </w:p>
        </w:tc>
      </w:tr>
      <w:tr w14:paraId="446B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A116112">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73B4D940">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涟源市第三中学新建教师保障性租赁住房建设项目的测量</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131E573">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该项目位于涟源市杨市镇，测绘内容：对涟源市第三中学新建教师保障性租赁住房建设项目进行了地籍测绘、房产测绘，规划验收测绘，出具了规划验收报告，宗地图、不动产测绘报告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0502341">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90AB6E1">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0.9020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2AAA27E">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2024-10-21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B7F1957">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涟源市第三中学</w:t>
            </w:r>
          </w:p>
        </w:tc>
      </w:tr>
      <w:tr w14:paraId="0EC2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31F1FC9">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083BCDD">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涟源市古塘乡中心学校教师保障性租赁住房建设项目测绘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30A48E4">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项目位于涟源市古塘乡， 测绘内容：对涟源市古塘乡中心学校教师保障性租赁住房建设项目进行了地籍测绘、房产测绘、规划验收测绘，出具规划验收报告，宗地图、不动产测绘报告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7D0EA77">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DD10647">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0.8247</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13AA4FB">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2024-10-29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87C9A32">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涟源市古塘乡中心学校</w:t>
            </w:r>
          </w:p>
        </w:tc>
      </w:tr>
      <w:tr w14:paraId="1475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97B660C">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DEA6A63">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涟源市白马镇孙家桥中学新建教师保障性租赁住房建设项目测绘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95D7D6F">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项目位于涟源市白马镇孙家桥， 测绘内容：对涟源市白马镇孙家桥中学新建教师保障性租赁住房建设项目进行了地籍测绘、房产测绘、规划验收测绘，出具规划验收报告，宗地图、不动产测绘报告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003851C">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1CF96B7">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0.8210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B32A5F1">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2024-11-15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4C85633">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涟源市白马镇孙家桥中学</w:t>
            </w:r>
          </w:p>
        </w:tc>
      </w:tr>
      <w:tr w14:paraId="66854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F078C9A">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6AA1A92">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涟源市一水厂整体搬迁及城区管网改扩建工程（净水厂）的测绘</w:t>
            </w:r>
          </w:p>
        </w:tc>
        <w:tc>
          <w:tcPr>
            <w:tcW w:w="33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91759F">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项目位于涟源市六亩塘街道， 测绘内容：对涟源市一水厂整体搬迁及城区管网改扩建工程（净水厂）项目进行了地籍测绘、房产测绘、规划验收测绘，出具规划验收报告，宗地图、不动产测绘报告</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EB9F30">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43FA179">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2.0855</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2EE83DF">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2025-01-14</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58FDB85">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涟源市新城镇建设投资开发有限公司</w:t>
            </w:r>
          </w:p>
        </w:tc>
      </w:tr>
      <w:tr w14:paraId="6C34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9D04471">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7A52E51">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涟源市麒瑞•红旗府项目实测测绘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509248A">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项目位于涟源市蓝田办事处红旗路， 测绘内容：对涟源市麒瑞?红旗府项目进行了地籍测绘、房产测绘、规划验收测绘，出具规划验收报告，宗地图、不动产测绘报告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824B6A8">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EA61B6F">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21.0000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4BBE254">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2025-04-25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A9E0FB6">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涟源市建乐房地产开发有限公司</w:t>
            </w:r>
          </w:p>
        </w:tc>
      </w:tr>
      <w:tr w14:paraId="784D2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3B6FC35">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06EDE72">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涟源市2025年度第三十二批次集体土地农用地转用项目测绘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9AF9E25">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该项目位于涟源市桥头河镇，作业内容：对涟源市2025年度第三十二批次集体土地农用地转用项目进行了地籍测绘，出具了勘测定界报告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75ED187">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59429EE">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0.8000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C69EAD3">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2025-07-10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A091337">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涟源市桥头河蔬菜生态旅游发展有限公司</w:t>
            </w:r>
          </w:p>
        </w:tc>
      </w:tr>
      <w:tr w14:paraId="512BE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DEB9951">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BF8F1CC">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硕泰农业产业园建设项目的测绘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3187F097">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该项目位于涟源市龙塘镇，作业内容：对硕泰农业产业园建设项目进行地籍测绘、房产测绘，规划验收测绘，出具规划验收报告，宗地图、不动产测绘报告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4F63BC3">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486785A">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2.6820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5C928EB">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2025-09-25</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0A368AF5">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湖南硕泰农业综合开发股份有限公司</w:t>
            </w:r>
          </w:p>
        </w:tc>
      </w:tr>
      <w:tr w14:paraId="1703F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71BC846">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F44FBF6">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涟源市第二中学女生宿舍扩建项目的测绘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16F01A19">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该项目位于涟源市六亩塘街道，作业内容：对涟源市第二中学女生宿舍扩建项目进行地籍测绘、房产测绘，规划验收测绘，出具规划验收报告，宗地图、不动产测绘报告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78189F7">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2B8831B">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0.9940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6EE8AD7">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2026-04-20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93B469D">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涟源市第二中学</w:t>
            </w:r>
          </w:p>
        </w:tc>
      </w:tr>
      <w:tr w14:paraId="416DC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7B97AB1">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2B7574A">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湖南涟源农村商业银行股份有限公司杨家滩支行营业用房建设项目的测绘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DE99F48">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该项目位于涟源市杨市镇，作业内容：对湖南涟源农村商业银行股份有限公司杨家滩支行营业用房建设项目进行地籍测绘、房产测绘，规划验收测绘，出具规划验收报告，宗地图、不动产测绘报告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91E6E13">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A40194D">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1.0085</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B2C3E70">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2026-06-01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50E0A8D">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湖南涟源农村商业银行股份有限公司</w:t>
            </w:r>
          </w:p>
        </w:tc>
      </w:tr>
      <w:tr w14:paraId="7B2A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09C7BA1">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14</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3E5F35D">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涟源市伏口中心学校、中心小学周转房项目的测绘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42620A21">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该项目位于涟源市伏口镇，作业内容：对涟源市伏口中心学校、中心小学周转房项目进行地籍测绘、房产测绘，规划验收测绘，出具规划验收报告，宗地图、不动产测绘报告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C5D3A41">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E3109C0">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1.4800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264C67D">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2026-07-03</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DBFAFCD">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涟源市伏口中心学校</w:t>
            </w:r>
          </w:p>
        </w:tc>
      </w:tr>
      <w:tr w14:paraId="13211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AC2AA45">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055CEF7">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2026年娄底经开区辖区内道路及绿化数据更新 （保洁区）测量项目</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568D684A">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该项目位于娄底经开区辖区内，工作内容：娄底经济技术开发区辖区内道路面积测量（面积约3454006.91㎡）详情合同附表：2026年娄底经开区辖区内道路及绿化数据更新（保洁区）测量汇总表</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9C4EDB7">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F695D88">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20.7240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57EC943B">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2026-07-09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77477AC6">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娄底经济技术开发区开发建设局</w:t>
            </w:r>
          </w:p>
        </w:tc>
      </w:tr>
      <w:tr w14:paraId="4159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A24816D">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8C8575C">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白马镇罗家坪社区美丽乡村建设项目的1:500地形图测绘</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654C3E62">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该项目位于白马镇罗家坪社区，作业内容：白马镇罗家坪社区美丽乡村建设项目的1:500地形图</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0F69F70">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5D2D609">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0.6000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1D63817">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2026-08-21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7F6EC1AA">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涟源市白马镇人民政府</w:t>
            </w:r>
          </w:p>
        </w:tc>
      </w:tr>
      <w:tr w14:paraId="755AB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FC26FD3">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A8D9E7F">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涟源市坤元医养院项目实测</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76CF4DE7">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该项目位于涟源桥头河镇花枝村，作业内容：对涟源市坤元医养院项目进行地籍测绘、房产测绘，规划验收测绘，出具规划验收报告，宗地图、不动产测绘报告</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E7048A0">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5B979CA">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4.2000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DE6EEA4">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2026-09-10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2C81D98">
            <w:pPr>
              <w:keepNext w:val="0"/>
              <w:keepLines w:val="0"/>
              <w:pageBreakBefore w:val="0"/>
              <w:widowControl w:val="0"/>
              <w:kinsoku/>
              <w:wordWrap/>
              <w:overflowPunct/>
              <w:topLinePunct w:val="0"/>
              <w:autoSpaceDE/>
              <w:autoSpaceDN/>
              <w:bidi w:val="0"/>
              <w:adjustRightInd/>
              <w:snapToGrid/>
              <w:spacing w:line="240" w:lineRule="atLeast"/>
              <w:ind w:right="-105" w:rightChars="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湖南省坤元养老服务有限责任公司</w:t>
            </w:r>
          </w:p>
        </w:tc>
      </w:tr>
      <w:bookmarkEnd w:id="0"/>
    </w:tbl>
    <w:p w14:paraId="1014ECE3">
      <w:pPr>
        <w:rPr>
          <w:rFonts w:hint="default" w:ascii="Times New Roman" w:hAnsi="Times New Roman" w:cs="Times New Roman"/>
        </w:rPr>
      </w:pPr>
    </w:p>
    <w:p w14:paraId="10837FDF">
      <w:pPr>
        <w:rPr>
          <w:rFonts w:hint="eastAsia" w:ascii="方正小标宋_GBK" w:hAnsi="方正小标宋_GBK" w:eastAsia="方正小标宋_GBK" w:cs="方正小标宋_GBK"/>
          <w:b w:val="0"/>
          <w:bCs w:val="0"/>
          <w:sz w:val="36"/>
          <w:szCs w:val="36"/>
          <w:lang w:bidi="ar"/>
        </w:rPr>
      </w:pPr>
    </w:p>
    <w:p w14:paraId="0BEFD09D">
      <w:pPr>
        <w:rPr>
          <w:rFonts w:hint="eastAsia" w:ascii="方正小标宋_GBK" w:hAnsi="方正小标宋_GBK" w:eastAsia="方正小标宋_GBK" w:cs="方正小标宋_GBK"/>
          <w:b w:val="0"/>
          <w:bCs w:val="0"/>
          <w:sz w:val="36"/>
          <w:szCs w:val="36"/>
          <w:lang w:bidi="ar"/>
        </w:rPr>
      </w:pPr>
    </w:p>
    <w:p w14:paraId="60821587">
      <w:pPr>
        <w:jc w:val="both"/>
        <w:rPr>
          <w:rFonts w:hint="eastAsia" w:ascii="方正小标宋_GBK" w:hAnsi="方正小标宋_GBK" w:eastAsia="方正小标宋_GBK" w:cs="方正小标宋_GBK"/>
          <w:b w:val="0"/>
          <w:bCs w:val="0"/>
          <w:sz w:val="36"/>
          <w:szCs w:val="36"/>
          <w:lang w:bidi="ar"/>
        </w:rPr>
      </w:pPr>
    </w:p>
    <w:p w14:paraId="2A9F55B3">
      <w:pPr>
        <w:jc w:val="both"/>
        <w:rPr>
          <w:rFonts w:hint="eastAsia" w:ascii="方正小标宋_GBK" w:hAnsi="方正小标宋_GBK" w:eastAsia="方正小标宋_GBK" w:cs="方正小标宋_GBK"/>
          <w:b w:val="0"/>
          <w:bCs w:val="0"/>
          <w:sz w:val="36"/>
          <w:szCs w:val="36"/>
          <w:lang w:bidi="ar"/>
        </w:rPr>
      </w:pPr>
    </w:p>
    <w:p w14:paraId="0D4F2797">
      <w:pPr>
        <w:jc w:val="both"/>
        <w:rPr>
          <w:rFonts w:hint="eastAsia" w:ascii="方正小标宋_GBK" w:hAnsi="方正小标宋_GBK" w:eastAsia="方正小标宋_GBK" w:cs="方正小标宋_GBK"/>
          <w:b w:val="0"/>
          <w:bCs w:val="0"/>
          <w:sz w:val="36"/>
          <w:szCs w:val="36"/>
          <w:lang w:bidi="ar"/>
        </w:rPr>
      </w:pPr>
    </w:p>
    <w:p w14:paraId="04C51CA5">
      <w:pPr>
        <w:jc w:val="both"/>
        <w:rPr>
          <w:rFonts w:hint="eastAsia" w:ascii="方正小标宋_GBK" w:hAnsi="方正小标宋_GBK" w:eastAsia="方正小标宋_GBK" w:cs="方正小标宋_GBK"/>
          <w:b w:val="0"/>
          <w:bCs w:val="0"/>
          <w:sz w:val="36"/>
          <w:szCs w:val="36"/>
          <w:lang w:bidi="ar"/>
        </w:rPr>
      </w:pPr>
    </w:p>
    <w:p w14:paraId="2ABD06CD">
      <w:pPr>
        <w:jc w:val="both"/>
        <w:rPr>
          <w:rFonts w:hint="eastAsia" w:ascii="方正小标宋_GBK" w:hAnsi="方正小标宋_GBK" w:eastAsia="方正小标宋_GBK" w:cs="方正小标宋_GBK"/>
          <w:b w:val="0"/>
          <w:bCs w:val="0"/>
          <w:sz w:val="36"/>
          <w:szCs w:val="36"/>
          <w:lang w:bidi="ar"/>
        </w:rPr>
      </w:pPr>
    </w:p>
    <w:p w14:paraId="37247618">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0FF9622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0AC8F9C">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C28484E">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27CEBB5D">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297CA5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E384A4E">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7520081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07DBE74">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CB8F1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116AEE">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55572C5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0331437">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46982E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31ED8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722A0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45DE9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806601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62631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31668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7204B54">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9BE44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F76923">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831637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DDEB0B">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671FE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84458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D0E9D7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EAF8C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B2151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4E249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6B7797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73D0E4">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A3EEC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5C6D6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7A2256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D64F2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4F947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5F18D3">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429EEF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00F6008">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B44255">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0BC7019">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7FE09F9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BED990">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F20B4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77D22E">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41B93A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AA0D71">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06B7B5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5C964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DEAED3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6981D9">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4FD32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901182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394941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7BF1C4">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DE9AE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11042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3F9D6D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6178C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F9752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DAFFE2">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497C47F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8D5B6B">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48954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F8595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4D8376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652FC8CB">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5DAF55">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A4C0D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A953B5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41F7855">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3217146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D97A2A1">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84D5C86">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0024C3A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CF2915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4139A">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94666B7">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19C6078">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3A6214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A5A28">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B9DE9CA">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466FC642">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36907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3D6AD376">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3009E178">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7BE68B9A">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CB2739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B3C433">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0D4E7DA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28463CF0">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B3B332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CCA18A">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0D70A108">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B91B30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3D3F78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5B323">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DC28E00">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7A5CFF9">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50F316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005D562B">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A19286">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5514CBCB">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0E1A5B8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69B21532">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24E4D6B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3280C6F4">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14D99C4D">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FE7F5A4">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F9B384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DD899C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598A713A">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1C4B9992">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5E5E3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4FA7843A">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7DEECADD">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40EEDD51">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D7CAA1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37D25ED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813CC70">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FC9EFB">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BD6865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A40327">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2CC3A4">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0200FFA">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45D057E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11F70C">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05707">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8797173">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478FD88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991CA19">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0BEB09CC">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1CAC90A5">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1E2082A5"/>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0B410F04"/>
    <w:rsid w:val="119D03CB"/>
    <w:rsid w:val="137301EC"/>
    <w:rsid w:val="1D373DFD"/>
    <w:rsid w:val="23F4608B"/>
    <w:rsid w:val="258D066C"/>
    <w:rsid w:val="2EB85034"/>
    <w:rsid w:val="30E80B4C"/>
    <w:rsid w:val="34A92307"/>
    <w:rsid w:val="3DA84466"/>
    <w:rsid w:val="4A660295"/>
    <w:rsid w:val="4FB23C2F"/>
    <w:rsid w:val="57A61288"/>
    <w:rsid w:val="5E7E639A"/>
    <w:rsid w:val="5F9302B9"/>
    <w:rsid w:val="629066D2"/>
    <w:rsid w:val="6AD164D3"/>
    <w:rsid w:val="72FE0A93"/>
    <w:rsid w:val="7A6B52EE"/>
    <w:rsid w:val="7E7443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3854</Words>
  <Characters>4223</Characters>
  <Lines>0</Lines>
  <Paragraphs>0</Paragraphs>
  <TotalTime>28</TotalTime>
  <ScaleCrop>false</ScaleCrop>
  <LinksUpToDate>false</LinksUpToDate>
  <CharactersWithSpaces>4237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2026-09-30T07:06:13Z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