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D1E36">
      <w:pPr>
        <w:jc w:val="both"/>
        <w:rPr>
          <w:rFonts w:hint="eastAsia" w:ascii="方正小标宋简体" w:hAnsi="方正小标宋简体" w:eastAsia="方正小标宋简体" w:cs="方正小标宋简体"/>
          <w:b w:val="0"/>
          <w:bCs/>
          <w:sz w:val="48"/>
          <w:szCs w:val="48"/>
          <w:u w:val="single"/>
          <w:lang w:val="en-US" w:eastAsia="zh-CN" w:bidi="ar"/>
        </w:rPr>
      </w:pPr>
    </w:p>
    <w:p w14:paraId="3B5A8491">
      <w:pPr>
        <w:pStyle w:val="2"/>
        <w:rPr>
          <w:rFonts w:hint="eastAsia"/>
          <w:lang w:val="en-US" w:eastAsia="zh-CN"/>
        </w:rPr>
      </w:pPr>
    </w:p>
    <w:p w14:paraId="5E98A762">
      <w:pPr>
        <w:jc w:val="both"/>
        <w:rPr>
          <w:rFonts w:hint="eastAsia" w:ascii="方正小标宋简体" w:hAnsi="方正小标宋简体" w:eastAsia="方正小标宋简体" w:cs="方正小标宋简体"/>
          <w:b w:val="0"/>
          <w:bCs/>
          <w:sz w:val="48"/>
          <w:szCs w:val="48"/>
          <w:u w:val="single"/>
          <w:lang w:val="en-US" w:eastAsia="zh-CN" w:bidi="ar"/>
        </w:rPr>
      </w:pPr>
    </w:p>
    <w:p w14:paraId="048EF2AD">
      <w:pPr>
        <w:pStyle w:val="2"/>
        <w:rPr>
          <w:rFonts w:hint="eastAsia"/>
          <w:lang w:val="en-US" w:eastAsia="zh-CN"/>
        </w:rPr>
      </w:pPr>
    </w:p>
    <w:p w14:paraId="37E8A7A6">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湖南里仁土地咨询有限公司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587D0610">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35774E7C">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7DCB1E8">
      <w:pPr>
        <w:rPr>
          <w:rFonts w:hint="default" w:ascii="Times New Roman" w:hAnsi="Times New Roman" w:cs="Times New Roman"/>
        </w:rPr>
      </w:pPr>
    </w:p>
    <w:p w14:paraId="01353539">
      <w:pPr>
        <w:rPr>
          <w:rFonts w:hint="default" w:ascii="Times New Roman" w:hAnsi="Times New Roman" w:cs="Times New Roman"/>
        </w:rPr>
      </w:pPr>
    </w:p>
    <w:p w14:paraId="0A89020F">
      <w:pPr>
        <w:rPr>
          <w:rFonts w:hint="default" w:ascii="Times New Roman" w:hAnsi="Times New Roman" w:cs="Times New Roman"/>
        </w:rPr>
      </w:pPr>
    </w:p>
    <w:p w14:paraId="05B11DA0">
      <w:pPr>
        <w:rPr>
          <w:rFonts w:hint="default" w:ascii="Times New Roman" w:hAnsi="Times New Roman" w:cs="Times New Roman"/>
        </w:rPr>
      </w:pPr>
    </w:p>
    <w:p w14:paraId="33BF00BF">
      <w:pPr>
        <w:rPr>
          <w:rFonts w:hint="default" w:ascii="Times New Roman" w:hAnsi="Times New Roman" w:cs="Times New Roman"/>
        </w:rPr>
      </w:pPr>
    </w:p>
    <w:p w14:paraId="1562A821">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0A735A07">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4"/>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7046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52F27C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5F94383">
            <w:pPr>
              <w:jc w:val="center"/>
              <w:rPr>
                <w:rFonts w:hint="eastAsia" w:ascii="宋体" w:hAnsi="宋体" w:eastAsia="宋体" w:cs="宋体"/>
                <w:sz w:val="24"/>
                <w:szCs w:val="24"/>
              </w:rPr>
            </w:pPr>
            <w:r>
              <w:rPr>
                <w:rFonts w:hint="eastAsia" w:ascii="宋体" w:hAnsi="宋体" w:eastAsia="宋体" w:cs="宋体"/>
                <w:sz w:val="24"/>
                <w:szCs w:val="24"/>
              </w:rPr>
              <w:t>湖南里仁土地咨询有限公司</w:t>
            </w:r>
          </w:p>
        </w:tc>
      </w:tr>
      <w:tr w14:paraId="227E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6DA793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8BD8BFB">
            <w:pPr>
              <w:jc w:val="center"/>
              <w:rPr>
                <w:rFonts w:hint="eastAsia" w:ascii="宋体" w:hAnsi="宋体" w:eastAsia="宋体" w:cs="宋体"/>
                <w:sz w:val="24"/>
                <w:szCs w:val="24"/>
                <w:lang w:val="en-US" w:eastAsia="zh-CN"/>
              </w:rPr>
            </w:pPr>
            <w:r>
              <w:rPr>
                <w:rFonts w:hint="eastAsia" w:ascii="宋体" w:hAnsi="宋体" w:eastAsia="宋体" w:cs="宋体"/>
                <w:sz w:val="24"/>
                <w:szCs w:val="24"/>
              </w:rPr>
              <w:t>民营企业</w:t>
            </w:r>
          </w:p>
        </w:tc>
      </w:tr>
      <w:tr w14:paraId="11E5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7E5637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C9314B4">
            <w:pPr>
              <w:jc w:val="center"/>
              <w:rPr>
                <w:rFonts w:hint="eastAsia" w:ascii="宋体" w:hAnsi="宋体" w:eastAsia="宋体" w:cs="宋体"/>
                <w:sz w:val="24"/>
                <w:szCs w:val="24"/>
                <w:lang w:val="en-US" w:eastAsia="zh-CN"/>
              </w:rPr>
            </w:pPr>
            <w:r>
              <w:rPr>
                <w:rFonts w:hint="eastAsia" w:ascii="宋体" w:hAnsi="宋体" w:eastAsia="宋体" w:cs="宋体"/>
                <w:sz w:val="24"/>
                <w:szCs w:val="24"/>
              </w:rPr>
              <w:t>湖南省长沙市天心区芙蓉南路181号通泰梅岭苑2栋1单元502室</w:t>
            </w:r>
          </w:p>
        </w:tc>
      </w:tr>
      <w:tr w14:paraId="0364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98794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563E2D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李  琳</w:t>
            </w:r>
          </w:p>
        </w:tc>
      </w:tr>
      <w:tr w14:paraId="6CDA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6E8D96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CA5FA03">
            <w:pPr>
              <w:jc w:val="center"/>
              <w:rPr>
                <w:rFonts w:hint="eastAsia" w:ascii="宋体" w:hAnsi="宋体" w:eastAsia="宋体" w:cs="宋体"/>
                <w:sz w:val="24"/>
                <w:szCs w:val="24"/>
                <w:lang w:val="en-US" w:eastAsia="zh-CN"/>
              </w:rPr>
            </w:pPr>
            <w:r>
              <w:rPr>
                <w:rFonts w:hint="eastAsia" w:ascii="宋体" w:hAnsi="宋体" w:eastAsia="宋体" w:cs="宋体"/>
                <w:sz w:val="24"/>
                <w:szCs w:val="24"/>
              </w:rPr>
              <w:t>乙级：摄影测量与遥感、工程测量、界线与不动产测绘、地理信息系统工程</w:t>
            </w:r>
          </w:p>
        </w:tc>
      </w:tr>
    </w:tbl>
    <w:p w14:paraId="74CCF076">
      <w:pPr>
        <w:rPr>
          <w:rFonts w:hint="default" w:ascii="Times New Roman" w:hAnsi="Times New Roman" w:cs="Times New Roman"/>
        </w:rPr>
      </w:pPr>
    </w:p>
    <w:p w14:paraId="226BC9AC">
      <w:pPr>
        <w:jc w:val="center"/>
        <w:rPr>
          <w:rFonts w:hint="default" w:ascii="Times New Roman" w:hAnsi="Times New Roman" w:cs="Times New Roman"/>
          <w:b/>
          <w:spacing w:val="70"/>
          <w:sz w:val="36"/>
        </w:rPr>
      </w:pPr>
    </w:p>
    <w:p w14:paraId="3EE831ED">
      <w:pPr>
        <w:jc w:val="center"/>
        <w:rPr>
          <w:rFonts w:hint="default" w:ascii="Times New Roman" w:hAnsi="Times New Roman" w:cs="Times New Roman"/>
          <w:b/>
          <w:spacing w:val="70"/>
          <w:sz w:val="36"/>
        </w:rPr>
      </w:pPr>
    </w:p>
    <w:p w14:paraId="2BC48C58">
      <w:pPr>
        <w:jc w:val="center"/>
        <w:rPr>
          <w:rFonts w:hint="default" w:ascii="Times New Roman" w:hAnsi="Times New Roman" w:cs="Times New Roman"/>
          <w:b/>
          <w:spacing w:val="70"/>
          <w:sz w:val="36"/>
        </w:rPr>
      </w:pPr>
    </w:p>
    <w:p w14:paraId="1C37AFD1">
      <w:pPr>
        <w:jc w:val="center"/>
        <w:rPr>
          <w:rFonts w:hint="default" w:ascii="Times New Roman" w:hAnsi="Times New Roman" w:cs="Times New Roman"/>
          <w:b/>
          <w:spacing w:val="70"/>
          <w:sz w:val="36"/>
        </w:rPr>
      </w:pPr>
    </w:p>
    <w:p w14:paraId="0B1AB287">
      <w:pPr>
        <w:jc w:val="center"/>
        <w:rPr>
          <w:rFonts w:hint="default" w:ascii="Times New Roman" w:hAnsi="Times New Roman" w:cs="Times New Roman"/>
          <w:b/>
          <w:spacing w:val="70"/>
          <w:sz w:val="36"/>
        </w:rPr>
      </w:pPr>
    </w:p>
    <w:p w14:paraId="235BC407">
      <w:pPr>
        <w:jc w:val="center"/>
        <w:rPr>
          <w:rFonts w:hint="default" w:ascii="Times New Roman" w:hAnsi="Times New Roman" w:cs="Times New Roman"/>
          <w:b/>
          <w:spacing w:val="70"/>
          <w:sz w:val="36"/>
        </w:rPr>
      </w:pPr>
    </w:p>
    <w:p w14:paraId="0CE10EF6">
      <w:pPr>
        <w:jc w:val="both"/>
        <w:rPr>
          <w:rFonts w:hint="eastAsia" w:ascii="方正小标宋_GBK" w:hAnsi="方正小标宋_GBK" w:eastAsia="方正小标宋_GBK" w:cs="方正小标宋_GBK"/>
          <w:b w:val="0"/>
          <w:bCs w:val="0"/>
          <w:sz w:val="36"/>
          <w:szCs w:val="36"/>
          <w:lang w:bidi="ar"/>
        </w:rPr>
      </w:pPr>
    </w:p>
    <w:p w14:paraId="4F702B92">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FFB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40A88CF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2685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348391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AD0A5A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0F3983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67E7B9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DFB544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842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469877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550D3A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毛丽杰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5F0F960">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95330E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074928">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A0B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9E67A5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A2E140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曾燕林</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AC9D2AA">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410B86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7201C5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18067628">
      <w:pPr>
        <w:jc w:val="center"/>
        <w:rPr>
          <w:rFonts w:hint="eastAsia" w:ascii="方正小标宋_GBK" w:hAnsi="方正小标宋_GBK" w:eastAsia="方正小标宋_GBK" w:cs="方正小标宋_GBK"/>
          <w:b w:val="0"/>
          <w:bCs w:val="0"/>
          <w:sz w:val="36"/>
          <w:szCs w:val="36"/>
          <w:lang w:eastAsia="zh-CN" w:bidi="ar"/>
        </w:rPr>
      </w:pPr>
    </w:p>
    <w:p w14:paraId="00D3C971">
      <w:pPr>
        <w:jc w:val="center"/>
        <w:rPr>
          <w:rFonts w:hint="eastAsia" w:ascii="方正小标宋_GBK" w:hAnsi="方正小标宋_GBK" w:eastAsia="方正小标宋_GBK" w:cs="方正小标宋_GBK"/>
          <w:b w:val="0"/>
          <w:bCs w:val="0"/>
          <w:sz w:val="36"/>
          <w:szCs w:val="36"/>
          <w:lang w:eastAsia="zh-CN" w:bidi="ar"/>
        </w:rPr>
      </w:pPr>
    </w:p>
    <w:p w14:paraId="7CB8B1E8">
      <w:pPr>
        <w:pStyle w:val="2"/>
        <w:rPr>
          <w:rFonts w:hint="eastAsia"/>
          <w:lang w:eastAsia="zh-CN"/>
        </w:rPr>
      </w:pPr>
    </w:p>
    <w:p w14:paraId="788B00F1">
      <w:pPr>
        <w:pStyle w:val="2"/>
        <w:rPr>
          <w:rFonts w:hint="eastAsia" w:ascii="方正小标宋_GBK" w:hAnsi="方正小标宋_GBK" w:eastAsia="方正小标宋_GBK" w:cs="方正小标宋_GBK"/>
          <w:b w:val="0"/>
          <w:bCs w:val="0"/>
          <w:sz w:val="36"/>
          <w:szCs w:val="36"/>
          <w:lang w:eastAsia="zh-CN" w:bidi="ar"/>
        </w:rPr>
      </w:pPr>
    </w:p>
    <w:p w14:paraId="4D12AD28">
      <w:pPr>
        <w:pStyle w:val="3"/>
        <w:rPr>
          <w:rFonts w:hint="eastAsia"/>
          <w:lang w:eastAsia="zh-CN"/>
        </w:rPr>
      </w:pPr>
    </w:p>
    <w:p w14:paraId="72BDC3E8">
      <w:pPr>
        <w:jc w:val="center"/>
        <w:rPr>
          <w:rFonts w:hint="eastAsia" w:ascii="方正小标宋_GBK" w:hAnsi="方正小标宋_GBK" w:eastAsia="方正小标宋_GBK" w:cs="方正小标宋_GBK"/>
          <w:b w:val="0"/>
          <w:bCs w:val="0"/>
          <w:sz w:val="36"/>
          <w:szCs w:val="36"/>
          <w:lang w:eastAsia="zh-CN" w:bidi="ar"/>
        </w:rPr>
      </w:pPr>
    </w:p>
    <w:p w14:paraId="4292F6AA">
      <w:pPr>
        <w:jc w:val="both"/>
        <w:rPr>
          <w:rFonts w:hint="eastAsia" w:ascii="方正小标宋_GBK" w:hAnsi="方正小标宋_GBK" w:eastAsia="方正小标宋_GBK" w:cs="方正小标宋_GBK"/>
          <w:b w:val="0"/>
          <w:bCs w:val="0"/>
          <w:sz w:val="36"/>
          <w:szCs w:val="36"/>
          <w:lang w:eastAsia="zh-CN" w:bidi="ar"/>
        </w:rPr>
      </w:pPr>
    </w:p>
    <w:p w14:paraId="576766FE">
      <w:pPr>
        <w:jc w:val="both"/>
        <w:rPr>
          <w:rFonts w:hint="eastAsia" w:ascii="方正小标宋_GBK" w:hAnsi="方正小标宋_GBK" w:eastAsia="方正小标宋_GBK" w:cs="方正小标宋_GBK"/>
          <w:b w:val="0"/>
          <w:bCs w:val="0"/>
          <w:sz w:val="36"/>
          <w:szCs w:val="36"/>
          <w:lang w:eastAsia="zh-CN" w:bidi="ar"/>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5F4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35B1A88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2018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853A8E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BC8009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21BD35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88981C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66E824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5073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91B247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9E0FFCC">
            <w:pPr>
              <w:jc w:val="center"/>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羊冠耀</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72A66FD">
            <w:pPr>
              <w:jc w:val="center"/>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209B985">
            <w:pPr>
              <w:jc w:val="center"/>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81E73C2">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70E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BD15A8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999327E">
            <w:pPr>
              <w:jc w:val="center"/>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陈建辉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2C09A20">
            <w:pPr>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16BFC9E">
            <w:pPr>
              <w:jc w:val="center"/>
              <w:outlineLvl w:val="9"/>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F044E1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EB5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50475D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1FF0EBC">
            <w:pPr>
              <w:jc w:val="center"/>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曾  芬</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E9132A1">
            <w:pPr>
              <w:jc w:val="center"/>
              <w:outlineLvl w:val="9"/>
              <w:rPr>
                <w:rFonts w:hint="eastAsia" w:ascii="宋体" w:hAnsi="宋体" w:eastAsia="宋体" w:cs="宋体"/>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38A9973">
            <w:pPr>
              <w:jc w:val="center"/>
              <w:outlineLvl w:val="9"/>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0E4A6E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1B1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EDBB1B7">
            <w:pPr>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386A15A">
            <w:pPr>
              <w:spacing w:line="240" w:lineRule="exact"/>
              <w:ind w:left="-105" w:leftChars="0" w:right="-105" w:rightChars="0"/>
              <w:jc w:val="center"/>
              <w:rPr>
                <w:rFonts w:hint="eastAsia"/>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李  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5793AED">
            <w:pPr>
              <w:spacing w:line="240" w:lineRule="exact"/>
              <w:ind w:right="-105" w:rightChars="0"/>
              <w:jc w:val="center"/>
              <w:rPr>
                <w:rFonts w:hint="eastAsia"/>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F9A2A0">
            <w:pPr>
              <w:jc w:val="center"/>
              <w:outlineLvl w:val="9"/>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3542E73">
            <w:pPr>
              <w:spacing w:line="240" w:lineRule="exact"/>
              <w:ind w:left="-105" w:leftChars="0" w:right="-105" w:rightChars="0"/>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B87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02B2FAB">
            <w:pPr>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6497C29">
            <w:pPr>
              <w:spacing w:line="240" w:lineRule="exact"/>
              <w:ind w:left="-105" w:leftChars="0" w:right="-105" w:rightChars="0"/>
              <w:jc w:val="center"/>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李  玮</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52ABB8">
            <w:pPr>
              <w:spacing w:line="240" w:lineRule="exact"/>
              <w:ind w:right="-105" w:rightChars="0"/>
              <w:jc w:val="center"/>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003CEA4">
            <w:pPr>
              <w:jc w:val="center"/>
              <w:rPr>
                <w:rFonts w:hint="eastAsia"/>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B0C5C35">
            <w:pPr>
              <w:spacing w:line="240" w:lineRule="exact"/>
              <w:ind w:left="-105" w:leftChars="0" w:right="-105" w:rightChars="0"/>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64F81D53">
      <w:pPr>
        <w:rPr>
          <w:rFonts w:hint="default" w:ascii="Times New Roman" w:hAnsi="Times New Roman" w:cs="Times New Roman"/>
        </w:rPr>
      </w:pPr>
    </w:p>
    <w:p w14:paraId="6D5D604E">
      <w:pPr>
        <w:pStyle w:val="2"/>
        <w:rPr>
          <w:rFonts w:hint="default" w:ascii="Times New Roman" w:hAnsi="Times New Roman" w:cs="Times New Roman"/>
        </w:rPr>
      </w:pPr>
    </w:p>
    <w:p w14:paraId="18415D12">
      <w:pPr>
        <w:pStyle w:val="3"/>
        <w:rPr>
          <w:rFonts w:hint="default"/>
        </w:rPr>
      </w:pPr>
    </w:p>
    <w:p w14:paraId="5CB225C4">
      <w:pPr>
        <w:rPr>
          <w:rFonts w:hint="default" w:ascii="Times New Roman" w:hAnsi="Times New Roman" w:cs="Times New Roman"/>
        </w:rPr>
      </w:pPr>
    </w:p>
    <w:p w14:paraId="6945D7FD">
      <w:pPr>
        <w:rPr>
          <w:rFonts w:hint="default" w:ascii="Times New Roman" w:hAnsi="Times New Roman" w:cs="Times New Roman"/>
        </w:rPr>
      </w:pPr>
    </w:p>
    <w:p w14:paraId="0C5D7946">
      <w:pPr>
        <w:rPr>
          <w:rFonts w:hint="default" w:ascii="Times New Roman" w:hAnsi="Times New Roman" w:cs="Times New Roman"/>
        </w:rPr>
      </w:pPr>
    </w:p>
    <w:p w14:paraId="3CEA0A27">
      <w:pPr>
        <w:rPr>
          <w:rFonts w:hint="default" w:ascii="Times New Roman" w:hAnsi="Times New Roman" w:cs="Times New Roman"/>
        </w:rPr>
      </w:pPr>
    </w:p>
    <w:p w14:paraId="1F721A05">
      <w:pPr>
        <w:rPr>
          <w:rFonts w:hint="default" w:ascii="Times New Roman" w:hAnsi="Times New Roman" w:cs="Times New Roman"/>
        </w:rPr>
      </w:pPr>
    </w:p>
    <w:p w14:paraId="3956CD6F">
      <w:pPr>
        <w:rPr>
          <w:rFonts w:hint="default" w:ascii="Times New Roman" w:hAnsi="Times New Roman" w:cs="Times New Roman"/>
        </w:rPr>
      </w:pPr>
    </w:p>
    <w:p w14:paraId="68A8A7C1">
      <w:pPr>
        <w:rPr>
          <w:rFonts w:hint="default" w:ascii="Times New Roman" w:hAnsi="Times New Roman" w:cs="Times New Roman"/>
        </w:rPr>
      </w:pPr>
    </w:p>
    <w:p w14:paraId="3BD50D2B">
      <w:pPr>
        <w:rPr>
          <w:rFonts w:hint="default" w:ascii="Times New Roman" w:hAnsi="Times New Roman" w:cs="Times New Roman"/>
        </w:rPr>
      </w:pPr>
    </w:p>
    <w:p w14:paraId="7DDAC175">
      <w:pPr>
        <w:rPr>
          <w:rFonts w:hint="default" w:ascii="Times New Roman" w:hAnsi="Times New Roman" w:cs="Times New Roman"/>
        </w:rPr>
      </w:pPr>
    </w:p>
    <w:tbl>
      <w:tblPr>
        <w:tblStyle w:val="4"/>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53CF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2C92BC3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w:t>
            </w:r>
            <w:r>
              <w:rPr>
                <w:rFonts w:hint="eastAsia" w:ascii="黑体" w:hAnsi="黑体" w:eastAsia="黑体" w:cs="黑体"/>
                <w:b w:val="0"/>
                <w:bCs/>
                <w:color w:val="000000" w:themeColor="text1"/>
                <w:sz w:val="24"/>
                <w:szCs w:val="24"/>
                <w:lang w:val="en-US" w:eastAsia="zh-CN" w:bidi="ar"/>
                <w14:textFill>
                  <w14:solidFill>
                    <w14:schemeClr w14:val="tx1"/>
                  </w14:solidFill>
                </w14:textFill>
              </w:rPr>
              <w:t>相关专业</w:t>
            </w:r>
            <w:r>
              <w:rPr>
                <w:rFonts w:hint="eastAsia" w:ascii="黑体" w:hAnsi="黑体" w:eastAsia="黑体" w:cs="黑体"/>
                <w:b w:val="0"/>
                <w:bCs/>
                <w:color w:val="000000" w:themeColor="text1"/>
                <w:sz w:val="24"/>
                <w:szCs w:val="24"/>
                <w:lang w:bidi="ar"/>
                <w14:textFill>
                  <w14:solidFill>
                    <w14:schemeClr w14:val="tx1"/>
                  </w14:solidFill>
                </w14:textFill>
              </w:rPr>
              <w:t>技术人员</w:t>
            </w:r>
          </w:p>
        </w:tc>
      </w:tr>
      <w:tr w14:paraId="3689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272ADC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E757F3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EA195E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A2CE6D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12AEFC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2F1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73E46E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D5C1B9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肖时雨</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ED496E6">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9934D2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4AE9876">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城市规划</w:t>
            </w:r>
          </w:p>
        </w:tc>
      </w:tr>
      <w:tr w14:paraId="3AAD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2A9210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36F35B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张立龙</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C0913D0">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A11C19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C7BC12A">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土地工程</w:t>
            </w:r>
          </w:p>
        </w:tc>
      </w:tr>
      <w:tr w14:paraId="2E3C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5AFB22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61A3E4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殷</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杰</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C10C1D5">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63BAB0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29D5275">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土地工程</w:t>
            </w:r>
          </w:p>
        </w:tc>
      </w:tr>
      <w:tr w14:paraId="5C01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DF37CB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0C0358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胡瑞杰</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3BB692">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086C61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025EC5B">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土地工程</w:t>
            </w:r>
          </w:p>
        </w:tc>
      </w:tr>
    </w:tbl>
    <w:p w14:paraId="11089519">
      <w:pPr>
        <w:rPr>
          <w:rFonts w:hint="default" w:ascii="Times New Roman" w:hAnsi="Times New Roman" w:cs="Times New Roman"/>
        </w:rPr>
      </w:pPr>
    </w:p>
    <w:p w14:paraId="7D13D213">
      <w:pPr>
        <w:rPr>
          <w:rFonts w:hint="default" w:ascii="Times New Roman" w:hAnsi="Times New Roman" w:cs="Times New Roman"/>
        </w:rPr>
      </w:pPr>
    </w:p>
    <w:p w14:paraId="31B957D5">
      <w:pPr>
        <w:rPr>
          <w:rFonts w:hint="default" w:ascii="Times New Roman" w:hAnsi="Times New Roman" w:cs="Times New Roman"/>
        </w:rPr>
      </w:pPr>
    </w:p>
    <w:p w14:paraId="3624AB59">
      <w:pPr>
        <w:rPr>
          <w:rFonts w:hint="default" w:ascii="Times New Roman" w:hAnsi="Times New Roman" w:cs="Times New Roman"/>
        </w:rPr>
      </w:pPr>
    </w:p>
    <w:p w14:paraId="35F61630">
      <w:pPr>
        <w:rPr>
          <w:rFonts w:hint="default" w:ascii="Times New Roman" w:hAnsi="Times New Roman" w:cs="Times New Roman"/>
        </w:rPr>
      </w:pPr>
    </w:p>
    <w:p w14:paraId="18EB9CA6">
      <w:pPr>
        <w:rPr>
          <w:rFonts w:hint="default" w:ascii="Times New Roman" w:hAnsi="Times New Roman" w:cs="Times New Roman"/>
        </w:rPr>
      </w:pPr>
    </w:p>
    <w:p w14:paraId="08FD5A00">
      <w:pPr>
        <w:rPr>
          <w:rFonts w:hint="default" w:ascii="Times New Roman" w:hAnsi="Times New Roman" w:cs="Times New Roman"/>
        </w:rPr>
      </w:pPr>
    </w:p>
    <w:p w14:paraId="742E9DF3">
      <w:pPr>
        <w:rPr>
          <w:rFonts w:hint="default" w:ascii="Times New Roman" w:hAnsi="Times New Roman" w:cs="Times New Roman"/>
        </w:rPr>
      </w:pPr>
    </w:p>
    <w:p w14:paraId="2CF8DB5C">
      <w:pPr>
        <w:rPr>
          <w:rFonts w:hint="default" w:ascii="Times New Roman" w:hAnsi="Times New Roman" w:cs="Times New Roman"/>
        </w:rPr>
      </w:pPr>
    </w:p>
    <w:p w14:paraId="590173F7">
      <w:pPr>
        <w:pStyle w:val="2"/>
        <w:rPr>
          <w:rFonts w:hint="default"/>
        </w:rPr>
      </w:pPr>
    </w:p>
    <w:p w14:paraId="7E92622C">
      <w:pPr>
        <w:rPr>
          <w:rFonts w:hint="default" w:ascii="Times New Roman" w:hAnsi="Times New Roman" w:cs="Times New Roman"/>
        </w:rPr>
      </w:pPr>
    </w:p>
    <w:p w14:paraId="15CD13B0">
      <w:pPr>
        <w:rPr>
          <w:rFonts w:hint="default" w:ascii="Times New Roman" w:hAnsi="Times New Roman" w:cs="Times New Roman"/>
        </w:rPr>
      </w:pPr>
    </w:p>
    <w:p w14:paraId="204B3954">
      <w:pPr>
        <w:jc w:val="both"/>
        <w:rPr>
          <w:rFonts w:hint="eastAsia" w:ascii="方正小标宋_GBK" w:hAnsi="方正小标宋_GBK" w:eastAsia="方正小标宋_GBK" w:cs="方正小标宋_GBK"/>
          <w:b w:val="0"/>
          <w:bCs w:val="0"/>
          <w:sz w:val="36"/>
          <w:szCs w:val="36"/>
          <w:lang w:bidi="ar"/>
        </w:rPr>
      </w:pPr>
    </w:p>
    <w:p w14:paraId="4AAD1D16">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0963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798F26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32E2F1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2BA6C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D9F599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186E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15C80E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D8F6FC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GNSS接收机（不低于5mm+1ppm精度）</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2EFD64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GNSS接收机iRTK5</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CBA10D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7668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F17721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8E58924">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"javascript:__doPostBack('GvData$ctl03$Link_EquipmentName','')"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手持测距仪</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E7A21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手持式激光测距仪</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F05033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4CE0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DF16FB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1B144B7">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"javascript:__doPostBack('GvData$ctl04$Link_EquipmentName','')"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GNSS接收机（不低于5mm+1ppm精度）</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307AF5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A60Pro</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8264A9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205C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F7A7ECA">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9DA828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"javascript:__doPostBack('GvData$ctl05$Link_EquipmentName','')"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全站仪（不低于2秒级精度）</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7A638E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DTM624</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92A3D6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49BD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BFF49D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0A1D4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"javascript:__doPostBack('GvData$ctl06$Link_EquipmentName','')"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水准仪（不低于S1级精度）</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8A25B2A">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DS32-4</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C16096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04BD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CA9D32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F23DA8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"javascript:__doPostBack('GvData$ctl07$Link_EquipmentName','')"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地理信息系统平台软件</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DED859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Hi-Map</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E38E86A">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79FB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2CC38F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0316D5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"javascript:__doPostBack('GvData$ctl08$Link_EquipmentName','')"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遥感图像处理系统</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73B614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TIANYU Map</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3FF088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2B01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9AB69D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51E28C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fldChar w:fldCharType="begin"/>
            </w:r>
            <w:r>
              <w:rPr>
                <w:rFonts w:hint="eastAsia" w:ascii="宋体" w:hAnsi="宋体" w:eastAsia="宋体" w:cs="宋体"/>
                <w:color w:val="000000" w:themeColor="text1"/>
                <w:sz w:val="24"/>
                <w:szCs w:val="24"/>
                <w:lang w:val="en-US" w:eastAsia="zh-CN"/>
                <w14:textFill>
                  <w14:solidFill>
                    <w14:schemeClr w14:val="tx1"/>
                  </w14:solidFill>
                </w14:textFill>
              </w:rPr>
              <w:instrText xml:space="preserve"> HYPERLINK "javascript:__doPostBack('GvData$ctl10$Link_EquipmentName','')" </w:instrText>
            </w:r>
            <w:r>
              <w:rPr>
                <w:rFonts w:hint="eastAsia" w:ascii="宋体" w:hAnsi="宋体" w:eastAsia="宋体" w:cs="宋体"/>
                <w:color w:val="000000" w:themeColor="text1"/>
                <w:sz w:val="24"/>
                <w:szCs w:val="24"/>
                <w:lang w:val="en-US" w:eastAsia="zh-CN"/>
                <w14:textFill>
                  <w14:solidFill>
                    <w14:schemeClr w14:val="tx1"/>
                  </w14:solidFill>
                </w14:textFill>
              </w:rPr>
              <w:fldChar w:fldCharType="separate"/>
            </w:r>
            <w:r>
              <w:rPr>
                <w:rFonts w:hint="eastAsia" w:ascii="宋体" w:hAnsi="宋体" w:eastAsia="宋体" w:cs="宋体"/>
                <w:color w:val="000000" w:themeColor="text1"/>
                <w:sz w:val="24"/>
                <w:szCs w:val="24"/>
                <w:lang w:val="en-US" w:eastAsia="zh-CN"/>
                <w14:textFill>
                  <w14:solidFill>
                    <w14:schemeClr w14:val="tx1"/>
                  </w14:solidFill>
                </w14:textFill>
              </w:rPr>
              <w:t>地理信息处理软件</w:t>
            </w:r>
            <w:r>
              <w:rPr>
                <w:rFonts w:hint="eastAsia" w:ascii="宋体" w:hAnsi="宋体" w:eastAsia="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F49886F">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HiQ</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606C30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bl>
    <w:p w14:paraId="5ED20760">
      <w:pPr>
        <w:jc w:val="center"/>
        <w:rPr>
          <w:rFonts w:hint="default" w:ascii="Times New Roman" w:hAnsi="Times New Roman" w:cs="Times New Roman"/>
          <w:b/>
          <w:sz w:val="44"/>
          <w:szCs w:val="44"/>
        </w:rPr>
      </w:pPr>
    </w:p>
    <w:p w14:paraId="7C6D0176">
      <w:pPr>
        <w:jc w:val="both"/>
        <w:rPr>
          <w:rFonts w:hint="eastAsia" w:ascii="方正小标宋_GBK" w:hAnsi="方正小标宋_GBK" w:eastAsia="方正小标宋_GBK" w:cs="方正小标宋_GBK"/>
          <w:b w:val="0"/>
          <w:bCs w:val="0"/>
          <w:sz w:val="36"/>
          <w:szCs w:val="36"/>
          <w:lang w:bidi="ar"/>
        </w:rPr>
      </w:pPr>
    </w:p>
    <w:p w14:paraId="08C1F283">
      <w:pPr>
        <w:jc w:val="both"/>
        <w:rPr>
          <w:rFonts w:hint="eastAsia" w:ascii="方正小标宋_GBK" w:hAnsi="方正小标宋_GBK" w:eastAsia="方正小标宋_GBK" w:cs="方正小标宋_GBK"/>
          <w:b w:val="0"/>
          <w:bCs w:val="0"/>
          <w:sz w:val="36"/>
          <w:szCs w:val="36"/>
          <w:lang w:bidi="ar"/>
        </w:rPr>
      </w:pPr>
    </w:p>
    <w:p w14:paraId="0C4F3495">
      <w:pPr>
        <w:jc w:val="both"/>
        <w:rPr>
          <w:rFonts w:hint="eastAsia" w:ascii="方正小标宋_GBK" w:hAnsi="方正小标宋_GBK" w:eastAsia="方正小标宋_GBK" w:cs="方正小标宋_GBK"/>
          <w:b w:val="0"/>
          <w:bCs w:val="0"/>
          <w:sz w:val="36"/>
          <w:szCs w:val="36"/>
          <w:lang w:bidi="ar"/>
        </w:rPr>
      </w:pPr>
    </w:p>
    <w:p w14:paraId="01CE1980">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4"/>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605"/>
        <w:gridCol w:w="1684"/>
        <w:gridCol w:w="1906"/>
        <w:gridCol w:w="1906"/>
        <w:gridCol w:w="1907"/>
      </w:tblGrid>
      <w:tr w14:paraId="4B3E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7D4D88D">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67A8F6CE">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605" w:type="dxa"/>
            <w:tcBorders>
              <w:top w:val="single" w:color="auto" w:sz="4" w:space="0"/>
              <w:left w:val="single" w:color="auto" w:sz="4" w:space="0"/>
              <w:bottom w:val="single" w:color="auto" w:sz="4" w:space="0"/>
              <w:right w:val="single" w:color="auto" w:sz="4" w:space="0"/>
            </w:tcBorders>
            <w:noWrap w:val="0"/>
            <w:vAlign w:val="center"/>
          </w:tcPr>
          <w:p w14:paraId="489590CF">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6BA8B731">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684" w:type="dxa"/>
            <w:tcBorders>
              <w:top w:val="single" w:color="auto" w:sz="4" w:space="0"/>
              <w:left w:val="single" w:color="auto" w:sz="4" w:space="0"/>
              <w:bottom w:val="single" w:color="auto" w:sz="4" w:space="0"/>
              <w:right w:val="single" w:color="auto" w:sz="4" w:space="0"/>
            </w:tcBorders>
            <w:noWrap w:val="0"/>
            <w:vAlign w:val="center"/>
          </w:tcPr>
          <w:p w14:paraId="5F637DEB">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5C4827">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7DF6AED8">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C33BCA5">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5620475A">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9B3AC22">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4B53D91">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0D85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02869796">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01EAC84">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岳阳三荷机场通信台址经纬度和高程测量</w:t>
            </w:r>
          </w:p>
        </w:tc>
        <w:tc>
          <w:tcPr>
            <w:tcW w:w="3605" w:type="dxa"/>
            <w:tcBorders>
              <w:top w:val="single" w:color="auto" w:sz="4" w:space="0"/>
              <w:left w:val="single" w:color="auto" w:sz="4" w:space="0"/>
              <w:bottom w:val="single" w:color="auto" w:sz="4" w:space="0"/>
              <w:right w:val="single" w:color="auto" w:sz="4" w:space="0"/>
            </w:tcBorders>
            <w:noWrap w:val="0"/>
            <w:vAlign w:val="center"/>
          </w:tcPr>
          <w:p w14:paraId="71AEB845">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both"/>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1.工程概况 1.1 任务来源 为满足设计和施工的需要，受甲方的委托，我公司承担了岳阳三荷机场新建仪表着陆系统/DME选址测量任务。 1.2 测区概况 项目区位于岳阳市三荷机场，现场中心点位置由业主、甲方、设计等共同确定。 1.3 工作内容及范围 测量要求和范围按照《岳阳三荷机场新建仪表着陆系统/DME选址测量》任务书进行。 1.4 开竣工日期及完成工作量 我院自接到岳阳三荷机场新建仪表着陆系统/DME选址测量项目后，根据该任务的具体情况即刻就组建了测量项目部，经统计，完成以下工作： （1）岳阳机场拟建北下滑台和南航向台中心点平面和高程数据； （2）岳阳机场拟建北下滑台台址1KM范围内障碍物数据157个； （3）岳阳机场拟建南航向台台址1KM范围内障碍物数据表130个； （4）岳阳机场拟建北下滑台台站场地环境图 （5）岳阳机场拟建南航向台台站场地环境图 （6）岳阳机场北下滑台迁建选址遮蔽角图； （7）岳阳机场南航向台迁建选址遮蔽角图</w:t>
            </w:r>
          </w:p>
        </w:tc>
        <w:tc>
          <w:tcPr>
            <w:tcW w:w="1684" w:type="dxa"/>
            <w:tcBorders>
              <w:top w:val="single" w:color="auto" w:sz="4" w:space="0"/>
              <w:left w:val="single" w:color="auto" w:sz="4" w:space="0"/>
              <w:bottom w:val="single" w:color="auto" w:sz="4" w:space="0"/>
              <w:right w:val="single" w:color="auto" w:sz="4" w:space="0"/>
            </w:tcBorders>
            <w:noWrap w:val="0"/>
            <w:vAlign w:val="center"/>
          </w:tcPr>
          <w:p w14:paraId="34CE793D">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DE2B900">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6275E42">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2024-01-20</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AEABC42">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中航机场工程设计（广州）有限公司</w:t>
            </w:r>
          </w:p>
        </w:tc>
      </w:tr>
      <w:tr w14:paraId="6E3E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E12CACA">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40FB9736">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新建宜昌至常德铁路湖南段站前工程YCHNZQ-3标段（临澧县段）第一批次临时用地</w:t>
            </w:r>
          </w:p>
        </w:tc>
        <w:tc>
          <w:tcPr>
            <w:tcW w:w="3605" w:type="dxa"/>
            <w:tcBorders>
              <w:top w:val="single" w:color="auto" w:sz="4" w:space="0"/>
              <w:left w:val="single" w:color="auto" w:sz="4" w:space="0"/>
              <w:bottom w:val="single" w:color="auto" w:sz="4" w:space="0"/>
              <w:right w:val="single" w:color="auto" w:sz="4" w:space="0"/>
            </w:tcBorders>
            <w:noWrap w:val="0"/>
            <w:vAlign w:val="center"/>
          </w:tcPr>
          <w:p w14:paraId="624C5A6C">
            <w:pPr>
              <w:keepNext w:val="0"/>
              <w:keepLines w:val="0"/>
              <w:pageBreakBefore w:val="0"/>
              <w:widowControl w:val="0"/>
              <w:kinsoku/>
              <w:wordWrap/>
              <w:overflowPunct/>
              <w:topLinePunct w:val="0"/>
              <w:autoSpaceDE/>
              <w:autoSpaceDN/>
              <w:bidi w:val="0"/>
              <w:adjustRightInd/>
              <w:snapToGrid/>
              <w:spacing w:line="260" w:lineRule="exact"/>
              <w:ind w:left="0" w:right="0"/>
              <w:jc w:val="both"/>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1.完成第一批次临时用地勘测定界工作：主要包括实地界定用地位置、范围、地类、权属以及面积，编制勘测定界成果。 2.完成第一批次临时用地占用永久基本农田不可避让论证：开展第一批次临时用地占用永久基本农田必要性合理性论证，编制占用永久基本农田影响论证报告或不可避让论证方案。 3.完成第一批次临时用地土地复垦方案编制工作：根据勘界图，编制土地复垦方案，取得自然资源主管部门批复文件。 4.完成第一批次临时用地报批工作：包含项目资料的收集、整理、组卷、申报，行政主管部门协调及进度跟踪，编制临时用地报卷资料，对接取得临时用地审批单。 5.完成第一批次临时用地临时使用林地可行性报告编制：针对拟用地范围内的林地，开展资料收集、进行勘查、调查等野外作业，以及根据林业主管部门要求编制临时用地使用林地可行性报告或使用林地现状调查表。 6.完成第一批次临时用地临时使用林地恢复植被和林业生产条件实施方案编制：进行收集资料，制订调查方案细则，根据林业主管部门要求，编制临时用地使用林地恢复植被和林业生产条件实施方案</w:t>
            </w:r>
          </w:p>
        </w:tc>
        <w:tc>
          <w:tcPr>
            <w:tcW w:w="1684" w:type="dxa"/>
            <w:tcBorders>
              <w:top w:val="single" w:color="auto" w:sz="4" w:space="0"/>
              <w:left w:val="single" w:color="auto" w:sz="4" w:space="0"/>
              <w:bottom w:val="single" w:color="auto" w:sz="4" w:space="0"/>
              <w:right w:val="single" w:color="auto" w:sz="4" w:space="0"/>
            </w:tcBorders>
            <w:noWrap w:val="0"/>
            <w:vAlign w:val="center"/>
          </w:tcPr>
          <w:p w14:paraId="76B694D3">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8C342B5">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30.0000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35243FD">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2026-01-01</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66683A69">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中铁四局集团有限公司第一工程分公司宜常铁路湖南段项目经理部一分部</w:t>
            </w:r>
          </w:p>
        </w:tc>
      </w:tr>
      <w:tr w14:paraId="32C0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E2CA39E">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A75CF33">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新建宜昌至常德铁路湖南段站前工程 YCHNZQ-2 标段（临澧县 段）第一批次临时用地项目技术服务</w:t>
            </w:r>
          </w:p>
        </w:tc>
        <w:tc>
          <w:tcPr>
            <w:tcW w:w="3605" w:type="dxa"/>
            <w:tcBorders>
              <w:top w:val="single" w:color="auto" w:sz="4" w:space="0"/>
              <w:left w:val="single" w:color="auto" w:sz="4" w:space="0"/>
              <w:bottom w:val="single" w:color="auto" w:sz="4" w:space="0"/>
              <w:right w:val="single" w:color="auto" w:sz="4" w:space="0"/>
            </w:tcBorders>
            <w:noWrap w:val="0"/>
            <w:vAlign w:val="center"/>
          </w:tcPr>
          <w:p w14:paraId="6294FE1C">
            <w:pPr>
              <w:keepNext w:val="0"/>
              <w:keepLines w:val="0"/>
              <w:pageBreakBefore w:val="0"/>
              <w:widowControl w:val="0"/>
              <w:kinsoku/>
              <w:wordWrap/>
              <w:overflowPunct/>
              <w:topLinePunct w:val="0"/>
              <w:autoSpaceDE/>
              <w:autoSpaceDN/>
              <w:bidi w:val="0"/>
              <w:adjustRightInd/>
              <w:snapToGrid/>
              <w:spacing w:line="260" w:lineRule="exact"/>
              <w:ind w:left="0" w:right="0"/>
              <w:jc w:val="both"/>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1.按照国家土地复垦相关法律法规、部门规章制度以及相关行业标准规范、规程，在建设单位提供临时用地范围及相关资料的基础上编制土地复垦方案及 完成专家评审。 2.针对新建宜昌至常德铁路湖南段站前工程 YCHNZQ-2 标段（临澧县段）第 一批次临时用地开展勘测定界工作（临时用地范围由甲方提供，乙方协助核定），收集整理符合临时用地手续办理的相关材料，如复垦协议、承诺书、银行保函、相关部门意见等，以此为依据编制土地复垦方案报告书及相关图件。 3.乙方编制完成的土地复垦方案需通过专家论证审查并报自然资源部门审查备案。 4.咨询方式：技术咨询服务。 5.技术咨询成果要达到的技术要求：编制的土地复垦方案符合国家土地复垦相关法律法规、部门规章制度以及相关行业标准规范、规程</w:t>
            </w:r>
          </w:p>
        </w:tc>
        <w:tc>
          <w:tcPr>
            <w:tcW w:w="1684" w:type="dxa"/>
            <w:tcBorders>
              <w:top w:val="single" w:color="auto" w:sz="4" w:space="0"/>
              <w:left w:val="single" w:color="auto" w:sz="4" w:space="0"/>
              <w:bottom w:val="single" w:color="auto" w:sz="4" w:space="0"/>
              <w:right w:val="single" w:color="auto" w:sz="4" w:space="0"/>
            </w:tcBorders>
            <w:noWrap w:val="0"/>
            <w:vAlign w:val="center"/>
          </w:tcPr>
          <w:p w14:paraId="6E452C4C">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工程测量</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047C929">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22.5000</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F288627">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2026-09-09</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719AAEB9">
            <w:pPr>
              <w:keepNext w:val="0"/>
              <w:keepLines w:val="0"/>
              <w:pageBreakBefore w:val="0"/>
              <w:widowControl w:val="0"/>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中铁十九局集团有限公司宜常铁路湖南段项目经理部</w:t>
            </w:r>
          </w:p>
        </w:tc>
      </w:tr>
    </w:tbl>
    <w:p w14:paraId="5BBECE1A">
      <w:pPr>
        <w:rPr>
          <w:rFonts w:hint="default" w:ascii="Times New Roman" w:hAnsi="Times New Roman" w:cs="Times New Roman"/>
        </w:rPr>
      </w:pPr>
    </w:p>
    <w:p w14:paraId="5DFE090D">
      <w:pPr>
        <w:jc w:val="both"/>
        <w:rPr>
          <w:rFonts w:hint="eastAsia" w:ascii="方正小标宋_GBK" w:hAnsi="方正小标宋_GBK" w:eastAsia="方正小标宋_GBK" w:cs="方正小标宋_GBK"/>
          <w:b w:val="0"/>
          <w:bCs w:val="0"/>
          <w:sz w:val="36"/>
          <w:szCs w:val="36"/>
          <w:lang w:bidi="ar"/>
        </w:rPr>
      </w:pPr>
    </w:p>
    <w:p w14:paraId="0EE5EA54">
      <w:pPr>
        <w:jc w:val="center"/>
        <w:rPr>
          <w:rFonts w:hint="eastAsia" w:ascii="方正小标宋_GBK" w:hAnsi="方正小标宋_GBK" w:eastAsia="方正小标宋_GBK" w:cs="方正小标宋_GBK"/>
          <w:b w:val="0"/>
          <w:bCs w:val="0"/>
          <w:sz w:val="36"/>
          <w:szCs w:val="36"/>
          <w:lang w:bidi="ar"/>
        </w:rPr>
      </w:pPr>
    </w:p>
    <w:p w14:paraId="01EEA1BA">
      <w:pPr>
        <w:jc w:val="center"/>
        <w:rPr>
          <w:rFonts w:hint="eastAsia" w:ascii="方正小标宋_GBK" w:hAnsi="方正小标宋_GBK" w:eastAsia="方正小标宋_GBK" w:cs="方正小标宋_GBK"/>
          <w:b w:val="0"/>
          <w:bCs w:val="0"/>
          <w:sz w:val="36"/>
          <w:szCs w:val="36"/>
          <w:lang w:bidi="ar"/>
        </w:rPr>
      </w:pPr>
    </w:p>
    <w:p w14:paraId="0D898542">
      <w:pPr>
        <w:jc w:val="center"/>
        <w:rPr>
          <w:rFonts w:hint="eastAsia" w:ascii="方正小标宋_GBK" w:hAnsi="方正小标宋_GBK" w:eastAsia="方正小标宋_GBK" w:cs="方正小标宋_GBK"/>
          <w:b w:val="0"/>
          <w:bCs w:val="0"/>
          <w:sz w:val="36"/>
          <w:szCs w:val="36"/>
          <w:lang w:bidi="ar"/>
        </w:rPr>
      </w:pPr>
    </w:p>
    <w:p w14:paraId="74AB65AE">
      <w:pPr>
        <w:jc w:val="center"/>
        <w:rPr>
          <w:rFonts w:hint="default" w:ascii="Times New Roman" w:hAnsi="Times New Roman" w:cs="Times New Roman"/>
          <w:sz w:val="24"/>
        </w:rPr>
      </w:pPr>
      <w:bookmarkStart w:id="0" w:name="_GoBack"/>
      <w:bookmarkEnd w:id="0"/>
      <w:r>
        <w:rPr>
          <w:rFonts w:hint="eastAsia" w:ascii="方正小标宋_GBK" w:hAnsi="方正小标宋_GBK" w:eastAsia="方正小标宋_GBK" w:cs="方正小标宋_GBK"/>
          <w:b w:val="0"/>
          <w:bCs w:val="0"/>
          <w:sz w:val="36"/>
          <w:szCs w:val="36"/>
          <w:lang w:bidi="ar"/>
        </w:rPr>
        <w:t>五、体系制度要求</w:t>
      </w:r>
    </w:p>
    <w:tbl>
      <w:tblPr>
        <w:tblStyle w:val="4"/>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3F3EE44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F7515A9">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0D776E">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7F9B0604">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0B6A507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851AE86">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43B5224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3222F8">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A0C17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1AFC27">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4430650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1D93A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A27C6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0D3DF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F986B3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A4E459">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113FE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B4A03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772B2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1D370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98865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2239A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FD037E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34C174">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13522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63B58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DA12BB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5E2D0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E369B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A2AB9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6287C1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C2A06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19A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2C607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E49F42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07ED84">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66906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84442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40FB7C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0B3725">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3D154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977659">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6CEC278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9C4C4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95371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2C136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5FFCF4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5CC53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BFEF8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5A1FA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D46A7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6B230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B3CFC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BBCBF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691CA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1C82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3759A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1EC26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BEB00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48FDB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1F1F1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7402A6">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0BCD74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EEBAA1">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5C40D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0E8D0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458A2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FB33ED8">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375FE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11C5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39C058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365C9D1">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240E6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6F03254">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728FEA3">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8EE95B9">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FFAD56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E234B">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C32756F">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63363D3">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88D6B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5582A">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AA9CC3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67F1532">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9D278B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1C0661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09B172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D035E37">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F5BC3C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92F3A">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9D21BA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02BA405C">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BD0FC9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4C5FC">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5038E7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DFD89CC">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C39E8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6ADB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F4749A8">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18896B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F596D7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60AF4230">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E50E0A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FE9AE94">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0136CF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12BC4E3C">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2622079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064D090D">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850D7D7">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1AD20AD">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A2349A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7B4D7CC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5DF21F7A">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36A77CF">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002826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5E150903">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1A852673">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4233300">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81CCD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7DD22F40">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396187">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8BD02E">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A5883B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353E58">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7BCBA7">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1AF55A">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E9B63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1AAB4F">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BE812C">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727E19">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63FB5F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67CB2F12">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32E887F4">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FAF0220">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2276861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kM2JmNzYwZGI3Nzg0ODhkOGM0ODZjOWUxZWYifQ=="/>
  </w:docVars>
  <w:rsids>
    <w:rsidRoot w:val="57A61288"/>
    <w:rsid w:val="27774974"/>
    <w:rsid w:val="29DB0C4A"/>
    <w:rsid w:val="57A61288"/>
    <w:rsid w:val="72FE0A93"/>
    <w:rsid w:val="7E895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宋体" w:hAnsi="宋体"/>
      <w:sz w:val="24"/>
    </w:rPr>
  </w:style>
  <w:style w:type="paragraph" w:styleId="3">
    <w:name w:val="Body Text First Indent"/>
    <w:basedOn w:val="2"/>
    <w:next w:val="1"/>
    <w:qFormat/>
    <w:uiPriority w:val="0"/>
    <w:pPr>
      <w:spacing w:after="0"/>
      <w:ind w:firstLine="420" w:firstLineChars="100"/>
    </w:pPr>
    <w:rPr>
      <w:rFonts w:ascii="宋体" w:hAnsi="宋体"/>
      <w:sz w:val="28"/>
      <w:szCs w:val="24"/>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3258</Words>
  <Characters>3460</Characters>
  <Lines>0</Lines>
  <Paragraphs>0</Paragraphs>
  <TotalTime>8</TotalTime>
  <ScaleCrop>false</ScaleCrop>
  <LinksUpToDate>false</LinksUpToDate>
  <CharactersWithSpaces>3511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2026-10-15T07:25:06Z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