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F23D2C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湖南省天宇勘测设计有限公司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湖南省天宇勘测设计有限公司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湖南省永州市冷水滩区梅湾街道育才路瑞景名都3-1206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聂运雷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B525A7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苗小芒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邓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聂运雷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1F82749C">
      <w:pPr>
        <w:rPr>
          <w:rFonts w:hint="default" w:ascii="Times New Roman" w:hAnsi="Times New Roman" w:cs="Times New Roman"/>
        </w:rPr>
      </w:pPr>
    </w:p>
    <w:p w14:paraId="78798F5F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</w:rPr>
      </w:pPr>
    </w:p>
    <w:p w14:paraId="03D244EE">
      <w:pPr>
        <w:rPr>
          <w:rFonts w:hint="default" w:ascii="Times New Roman" w:hAnsi="Times New Roman" w:cs="Times New Roman"/>
        </w:rPr>
      </w:pPr>
    </w:p>
    <w:p w14:paraId="37A1F3FB">
      <w:pPr>
        <w:rPr>
          <w:rFonts w:hint="default" w:ascii="Times New Roman" w:hAnsi="Times New Roman" w:cs="Times New Roman"/>
        </w:rPr>
      </w:pPr>
    </w:p>
    <w:p w14:paraId="6233B387">
      <w:pPr>
        <w:rPr>
          <w:rFonts w:hint="default" w:ascii="Times New Roman" w:hAnsi="Times New Roman" w:cs="Times New Roman"/>
        </w:rPr>
      </w:pPr>
    </w:p>
    <w:p w14:paraId="09BDE2FA">
      <w:pPr>
        <w:rPr>
          <w:rFonts w:hint="default" w:ascii="Times New Roman" w:hAnsi="Times New Roman" w:cs="Times New Roman"/>
        </w:rPr>
      </w:pPr>
    </w:p>
    <w:p w14:paraId="60583067">
      <w:pPr>
        <w:rPr>
          <w:rFonts w:hint="default" w:ascii="Times New Roman" w:hAnsi="Times New Roman" w:cs="Times New Roman"/>
        </w:rPr>
      </w:pPr>
    </w:p>
    <w:p w14:paraId="433FEFE1">
      <w:pPr>
        <w:rPr>
          <w:rFonts w:hint="default" w:ascii="Times New Roman" w:hAnsi="Times New Roman" w:cs="Times New Roman"/>
        </w:rPr>
      </w:pPr>
    </w:p>
    <w:p w14:paraId="4224158F">
      <w:pPr>
        <w:rPr>
          <w:rFonts w:hint="default" w:ascii="Times New Roman" w:hAnsi="Times New Roman" w:cs="Times New Roman"/>
        </w:rPr>
      </w:pPr>
    </w:p>
    <w:p w14:paraId="7F501C2D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李明泽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城乡规划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聂运芬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国土资源调查与管理</w:t>
            </w:r>
            <w:bookmarkStart w:id="0" w:name="_GoBack"/>
            <w:bookmarkEnd w:id="0"/>
          </w:p>
        </w:tc>
      </w:tr>
    </w:tbl>
    <w:p w14:paraId="55C0452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7A8609F6">
      <w:pPr>
        <w:rPr>
          <w:rFonts w:hint="default" w:ascii="Times New Roman" w:hAnsi="Times New Roman" w:cs="Times New Roman"/>
        </w:rPr>
      </w:pPr>
    </w:p>
    <w:p w14:paraId="18FB02E9">
      <w:pPr>
        <w:rPr>
          <w:rFonts w:hint="default" w:ascii="Times New Roman" w:hAnsi="Times New Roman" w:cs="Times New Roman"/>
        </w:rPr>
      </w:pPr>
    </w:p>
    <w:p w14:paraId="66607C72">
      <w:pPr>
        <w:rPr>
          <w:rFonts w:hint="default" w:ascii="Times New Roman" w:hAnsi="Times New Roman" w:cs="Times New Roman"/>
        </w:rPr>
      </w:pPr>
    </w:p>
    <w:p w14:paraId="13DC6D9F">
      <w:pPr>
        <w:rPr>
          <w:rFonts w:hint="default" w:ascii="Times New Roman" w:hAnsi="Times New Roman" w:cs="Times New Roman"/>
        </w:rPr>
      </w:pPr>
    </w:p>
    <w:p w14:paraId="38A55287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T5Pro惯导版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T5pro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T10Air北斗版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APO-32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3CA90DC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C689A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9578D8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7D2CBA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湖南永州宗元-浯溪-白项目 地市220千伏线路工程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土地勘测定界及地籍调查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2025-12-24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永州市自然资源和规划勘测事务中心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城市绿岛三期地下室车库竣工阶段综合测绘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规划条件核实和土地核验及地籍、房产测绘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2025-12-04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永州市自然资源和规划勘测事务中心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好益车汽车电子科技项 目H2#至H5#栋规划核 实竣工阶段综合测绘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规划条件核实和土地核验测绘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2025-11-19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永州市自然资源和规划勘测事务中心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湖南泰合电机有限公司 年产4000万台电机项 目竣工阶段综合测绘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规划条件核实和土地核验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2025-10-30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江华瑶族自治县自然资源局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东方金帝6、7、8、9栋施工许可阶段综合测绘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房产面积预测算/规划验线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2022-04-11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双牌县土地征用事务所</w:t>
            </w:r>
          </w:p>
        </w:tc>
      </w:tr>
    </w:tbl>
    <w:p w14:paraId="6D2526E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DD1371D"/>
    <w:rsid w:val="50D501F1"/>
    <w:rsid w:val="57A61288"/>
    <w:rsid w:val="5F6D1A0E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2140</Words>
  <Characters>2307</Characters>
  <Lines>0</Lines>
  <Paragraphs>0</Paragraphs>
  <TotalTime>17</TotalTime>
  <ScaleCrop>false</ScaleCrop>
  <LinksUpToDate>false</LinksUpToDate>
  <CharactersWithSpaces>2323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2026-11-03T04:56:35Z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