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4CADE">
      <w:pPr>
        <w:rPr>
          <w:rFonts w:hint="default" w:ascii="Times New Roman" w:hAnsi="Times New Roman" w:eastAsia="方正黑体_GBK" w:cs="Times New Roman"/>
          <w:color w:val="000000"/>
          <w:sz w:val="32"/>
          <w:szCs w:val="32"/>
          <w:highlight w:val="none"/>
        </w:rPr>
      </w:pPr>
      <w:r>
        <w:rPr>
          <w:rFonts w:hint="default" w:ascii="方正黑体_GBK" w:hAnsi="方正黑体_GBK" w:eastAsia="方正黑体_GBK" w:cs="方正黑体_GBK"/>
          <w:color w:val="000000"/>
          <w:sz w:val="32"/>
          <w:szCs w:val="32"/>
          <w:highlight w:val="none"/>
          <w:lang w:val="en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1-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1</w:t>
      </w:r>
    </w:p>
    <w:p w14:paraId="48AB71AE">
      <w:pPr>
        <w:pStyle w:val="3"/>
        <w:adjustRightInd w:val="0"/>
        <w:spacing w:before="0" w:after="0" w:line="600" w:lineRule="exact"/>
        <w:ind w:firstLine="0" w:firstLineChars="0"/>
        <w:jc w:val="center"/>
        <w:rPr>
          <w:rFonts w:ascii="Times New Roman" w:hAnsi="Times New Roman" w:eastAsia="黑体"/>
          <w:b w:val="0"/>
          <w:bCs w:val="0"/>
          <w:color w:val="000000"/>
          <w:sz w:val="32"/>
          <w:szCs w:val="32"/>
          <w:highlight w:val="none"/>
        </w:rPr>
      </w:pPr>
      <w:r>
        <w:rPr>
          <w:rFonts w:ascii="Times New Roman" w:hAnsi="Times New Roman" w:eastAsia="黑体"/>
          <w:b w:val="0"/>
          <w:bCs w:val="0"/>
          <w:color w:val="000000"/>
          <w:sz w:val="32"/>
          <w:szCs w:val="32"/>
          <w:highlight w:val="none"/>
        </w:rPr>
        <w:t>出让区块基本情况表</w:t>
      </w:r>
    </w:p>
    <w:tbl>
      <w:tblPr>
        <w:tblStyle w:val="4"/>
        <w:tblpPr w:leftFromText="180" w:rightFromText="180" w:vertAnchor="text" w:horzAnchor="page" w:tblpX="952" w:tblpY="158"/>
        <w:tblOverlap w:val="never"/>
        <w:tblW w:w="967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"/>
        <w:gridCol w:w="1185"/>
        <w:gridCol w:w="810"/>
        <w:gridCol w:w="1020"/>
        <w:gridCol w:w="1140"/>
        <w:gridCol w:w="3111"/>
        <w:gridCol w:w="879"/>
        <w:gridCol w:w="1170"/>
      </w:tblGrid>
      <w:tr w14:paraId="03B954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  <w:jc w:val="center"/>
        </w:trPr>
        <w:tc>
          <w:tcPr>
            <w:tcW w:w="357" w:type="dxa"/>
            <w:noWrap w:val="0"/>
            <w:vAlign w:val="center"/>
          </w:tcPr>
          <w:p w14:paraId="5290E7A1">
            <w:pPr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185" w:type="dxa"/>
            <w:noWrap w:val="0"/>
            <w:vAlign w:val="center"/>
          </w:tcPr>
          <w:p w14:paraId="6430F77F">
            <w:pPr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  <w:t>区块</w:t>
            </w:r>
          </w:p>
          <w:p w14:paraId="52992170">
            <w:pPr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810" w:type="dxa"/>
            <w:tcBorders>
              <w:right w:val="single" w:color="auto" w:sz="4" w:space="0"/>
            </w:tcBorders>
            <w:noWrap w:val="0"/>
            <w:vAlign w:val="center"/>
          </w:tcPr>
          <w:p w14:paraId="2E746472">
            <w:pPr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  <w:t>勘查</w:t>
            </w:r>
          </w:p>
          <w:p w14:paraId="6A71113E">
            <w:pPr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  <w:t>矿种</w:t>
            </w:r>
          </w:p>
        </w:tc>
        <w:tc>
          <w:tcPr>
            <w:tcW w:w="1020" w:type="dxa"/>
            <w:noWrap w:val="0"/>
            <w:vAlign w:val="center"/>
          </w:tcPr>
          <w:p w14:paraId="2BB41778">
            <w:pPr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  <w:t>面积</w:t>
            </w:r>
          </w:p>
          <w:p w14:paraId="591922BA">
            <w:pPr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  <w:t>（km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  <w:vertAlign w:val="superscript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1140" w:type="dxa"/>
            <w:noWrap w:val="0"/>
            <w:vAlign w:val="center"/>
          </w:tcPr>
          <w:p w14:paraId="0515274F">
            <w:pPr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  <w:lang w:val="en" w:eastAsia="zh-CN"/>
              </w:rPr>
              <w:t>区块地理位置</w:t>
            </w:r>
          </w:p>
        </w:tc>
        <w:tc>
          <w:tcPr>
            <w:tcW w:w="3111" w:type="dxa"/>
            <w:noWrap w:val="0"/>
            <w:vAlign w:val="center"/>
          </w:tcPr>
          <w:p w14:paraId="76D1A2B4">
            <w:pPr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  <w:t>区块拐点坐标</w:t>
            </w:r>
          </w:p>
          <w:p w14:paraId="4D34F210">
            <w:pPr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  <w:t>（2000坐标系，经纬度。小数点前为度，小数点后前两位为分、后五位为秒）</w:t>
            </w:r>
          </w:p>
        </w:tc>
        <w:tc>
          <w:tcPr>
            <w:tcW w:w="879" w:type="dxa"/>
            <w:noWrap w:val="0"/>
            <w:vAlign w:val="center"/>
          </w:tcPr>
          <w:p w14:paraId="5C007C5E">
            <w:pPr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  <w:lang w:val="en" w:eastAsia="zh-CN"/>
              </w:rPr>
              <w:t>挂牌</w:t>
            </w:r>
          </w:p>
          <w:p w14:paraId="0F648F37">
            <w:pPr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  <w:lang w:val="en" w:eastAsia="zh-CN"/>
              </w:rPr>
              <w:t>起始价（万元）</w:t>
            </w:r>
          </w:p>
        </w:tc>
        <w:tc>
          <w:tcPr>
            <w:tcW w:w="1170" w:type="dxa"/>
            <w:noWrap w:val="0"/>
            <w:vAlign w:val="center"/>
          </w:tcPr>
          <w:p w14:paraId="3B8DFDCE">
            <w:pPr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  <w:lang w:val="en" w:eastAsia="zh-CN"/>
              </w:rPr>
              <w:t>保证金</w:t>
            </w:r>
          </w:p>
          <w:p w14:paraId="14F064EF">
            <w:pPr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  <w:lang w:val="en" w:eastAsia="zh-CN"/>
              </w:rPr>
              <w:t>（万元）</w:t>
            </w:r>
          </w:p>
        </w:tc>
      </w:tr>
      <w:tr w14:paraId="065BF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  <w:jc w:val="center"/>
        </w:trPr>
        <w:tc>
          <w:tcPr>
            <w:tcW w:w="357" w:type="dxa"/>
            <w:noWrap w:val="0"/>
            <w:vAlign w:val="center"/>
          </w:tcPr>
          <w:p w14:paraId="48899092">
            <w:pPr>
              <w:snapToGrid w:val="0"/>
              <w:jc w:val="center"/>
              <w:rPr>
                <w:rFonts w:hint="default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 w14:paraId="3EB8086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" w:eastAsia="zh-CN" w:bidi="ar-SA"/>
              </w:rPr>
              <w:t>湖南省临武县香花岭矿区三合圩锡</w:t>
            </w:r>
            <w:r>
              <w:rPr>
                <w:rFonts w:hint="eastAsia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" w:eastAsia="zh-CN" w:bidi="ar-SA"/>
              </w:rPr>
              <w:t>多金属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" w:eastAsia="zh-CN" w:bidi="ar-SA"/>
              </w:rPr>
              <w:t>矿勘查</w:t>
            </w:r>
          </w:p>
        </w:tc>
        <w:tc>
          <w:tcPr>
            <w:tcW w:w="810" w:type="dxa"/>
            <w:tcBorders>
              <w:right w:val="single" w:color="auto" w:sz="4" w:space="0"/>
            </w:tcBorders>
            <w:noWrap w:val="0"/>
            <w:vAlign w:val="center"/>
          </w:tcPr>
          <w:p w14:paraId="479D6B3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" w:eastAsia="zh-CN" w:bidi="ar-SA"/>
              </w:rPr>
            </w:pPr>
            <w:r>
              <w:rPr>
                <w:rFonts w:hint="default" w:eastAsia="仿宋_GB2312" w:cs="Times New Roman"/>
                <w:color w:val="000000"/>
                <w:sz w:val="24"/>
                <w:szCs w:val="24"/>
                <w:highlight w:val="none"/>
                <w:lang w:val="en" w:eastAsia="zh-CN"/>
              </w:rPr>
              <w:t>锡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矿</w:t>
            </w:r>
          </w:p>
        </w:tc>
        <w:tc>
          <w:tcPr>
            <w:tcW w:w="1020" w:type="dxa"/>
            <w:noWrap w:val="0"/>
            <w:vAlign w:val="center"/>
          </w:tcPr>
          <w:p w14:paraId="7327885F">
            <w:pPr>
              <w:snapToGrid w:val="0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23.2087</w:t>
            </w:r>
          </w:p>
        </w:tc>
        <w:tc>
          <w:tcPr>
            <w:tcW w:w="1140" w:type="dxa"/>
            <w:noWrap w:val="0"/>
            <w:vAlign w:val="center"/>
          </w:tcPr>
          <w:p w14:paraId="03EFC54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" w:eastAsia="zh-CN" w:bidi="ar-SA"/>
              </w:rPr>
              <w:t>湖南省郴州市临武县</w:t>
            </w:r>
          </w:p>
        </w:tc>
        <w:tc>
          <w:tcPr>
            <w:tcW w:w="3111" w:type="dxa"/>
            <w:noWrap w:val="0"/>
            <w:vAlign w:val="center"/>
          </w:tcPr>
          <w:p w14:paraId="0A7E00FB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112.3015348</w:t>
            </w:r>
            <w:r>
              <w:rPr>
                <w:rFonts w:hint="eastAsia"/>
                <w:sz w:val="24"/>
                <w:lang w:val="en" w:eastAsia="zh-CN"/>
              </w:rPr>
              <w:t>，</w:t>
            </w:r>
            <w:r>
              <w:rPr>
                <w:rFonts w:hint="default"/>
                <w:sz w:val="24"/>
                <w:lang w:val="en-US" w:eastAsia="zh-CN"/>
              </w:rPr>
              <w:t>25.3215328</w:t>
            </w:r>
          </w:p>
          <w:p w14:paraId="0DBB792C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112.3440260</w:t>
            </w:r>
            <w:r>
              <w:rPr>
                <w:rFonts w:hint="eastAsia"/>
                <w:sz w:val="24"/>
                <w:lang w:val="en-US" w:eastAsia="zh-CN"/>
              </w:rPr>
              <w:t>，</w:t>
            </w:r>
            <w:r>
              <w:rPr>
                <w:rFonts w:hint="default"/>
                <w:sz w:val="24"/>
                <w:lang w:val="en-US" w:eastAsia="zh-CN"/>
              </w:rPr>
              <w:t>25.3217967</w:t>
            </w:r>
          </w:p>
          <w:p w14:paraId="37A99065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112.3441796</w:t>
            </w:r>
            <w:r>
              <w:rPr>
                <w:rFonts w:hint="eastAsia"/>
                <w:sz w:val="24"/>
                <w:lang w:val="en-US" w:eastAsia="zh-CN"/>
              </w:rPr>
              <w:t>，</w:t>
            </w:r>
            <w:r>
              <w:rPr>
                <w:rFonts w:hint="default"/>
                <w:sz w:val="24"/>
                <w:lang w:val="en-US" w:eastAsia="zh-CN"/>
              </w:rPr>
              <w:t>25.3007648</w:t>
            </w:r>
          </w:p>
          <w:p w14:paraId="5A9C3742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112.3410895</w:t>
            </w:r>
            <w:r>
              <w:rPr>
                <w:rFonts w:hint="eastAsia"/>
                <w:sz w:val="24"/>
                <w:lang w:val="en-US" w:eastAsia="zh-CN"/>
              </w:rPr>
              <w:t>，</w:t>
            </w:r>
            <w:r>
              <w:rPr>
                <w:rFonts w:hint="default"/>
                <w:sz w:val="24"/>
                <w:lang w:val="en-US" w:eastAsia="zh-CN"/>
              </w:rPr>
              <w:t>25.3007347</w:t>
            </w:r>
          </w:p>
          <w:p w14:paraId="277DAEA6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112.3410489</w:t>
            </w:r>
            <w:r>
              <w:rPr>
                <w:rFonts w:hint="eastAsia"/>
                <w:sz w:val="24"/>
                <w:lang w:val="en-US" w:eastAsia="zh-CN"/>
              </w:rPr>
              <w:t>，</w:t>
            </w:r>
            <w:r>
              <w:rPr>
                <w:rFonts w:hint="default"/>
                <w:sz w:val="24"/>
                <w:lang w:val="en-US" w:eastAsia="zh-CN"/>
              </w:rPr>
              <w:t>25.3057364</w:t>
            </w:r>
          </w:p>
          <w:p w14:paraId="2B085E47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112.3330126</w:t>
            </w:r>
            <w:r>
              <w:rPr>
                <w:rFonts w:hint="eastAsia"/>
                <w:sz w:val="24"/>
                <w:lang w:val="en-US" w:eastAsia="zh-CN"/>
              </w:rPr>
              <w:t>，</w:t>
            </w:r>
            <w:r>
              <w:rPr>
                <w:rFonts w:hint="default"/>
                <w:sz w:val="24"/>
                <w:lang w:val="en-US" w:eastAsia="zh-CN"/>
              </w:rPr>
              <w:t>25.3054182</w:t>
            </w:r>
          </w:p>
          <w:p w14:paraId="3A5FE41A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112.3330688</w:t>
            </w:r>
            <w:r>
              <w:rPr>
                <w:rFonts w:hint="eastAsia"/>
                <w:sz w:val="24"/>
                <w:lang w:val="en-US" w:eastAsia="zh-CN"/>
              </w:rPr>
              <w:t>，</w:t>
            </w:r>
            <w:r>
              <w:rPr>
                <w:rFonts w:hint="default"/>
                <w:sz w:val="24"/>
                <w:lang w:val="en-US" w:eastAsia="zh-CN"/>
              </w:rPr>
              <w:t>25.3009393</w:t>
            </w:r>
          </w:p>
          <w:p w14:paraId="19FB1404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112.3223003</w:t>
            </w:r>
            <w:r>
              <w:rPr>
                <w:rFonts w:hint="eastAsia"/>
                <w:sz w:val="24"/>
                <w:lang w:val="en-US" w:eastAsia="zh-CN"/>
              </w:rPr>
              <w:t>，</w:t>
            </w:r>
            <w:r>
              <w:rPr>
                <w:rFonts w:hint="default"/>
                <w:sz w:val="24"/>
                <w:lang w:val="en-US" w:eastAsia="zh-CN"/>
              </w:rPr>
              <w:t>25.3008724</w:t>
            </w:r>
          </w:p>
          <w:p w14:paraId="312CA3A3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112.3223558</w:t>
            </w:r>
            <w:r>
              <w:rPr>
                <w:rFonts w:hint="eastAsia"/>
                <w:sz w:val="24"/>
                <w:lang w:val="en-US" w:eastAsia="zh-CN"/>
              </w:rPr>
              <w:t>，</w:t>
            </w:r>
            <w:r>
              <w:rPr>
                <w:rFonts w:hint="default"/>
                <w:sz w:val="24"/>
                <w:lang w:val="en-US" w:eastAsia="zh-CN"/>
              </w:rPr>
              <w:t>25.3048411</w:t>
            </w:r>
          </w:p>
          <w:p w14:paraId="0D6561FF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112.3016430</w:t>
            </w:r>
            <w:r>
              <w:rPr>
                <w:rFonts w:hint="eastAsia"/>
                <w:sz w:val="24"/>
                <w:lang w:val="en-US" w:eastAsia="zh-CN"/>
              </w:rPr>
              <w:t>，</w:t>
            </w:r>
            <w:r>
              <w:rPr>
                <w:rFonts w:hint="default"/>
                <w:sz w:val="24"/>
                <w:lang w:val="en-US" w:eastAsia="zh-CN"/>
              </w:rPr>
              <w:t>25.3047957</w:t>
            </w:r>
          </w:p>
          <w:p w14:paraId="6CFEA597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0</w:t>
            </w:r>
            <w:r>
              <w:rPr>
                <w:rFonts w:hint="eastAsia"/>
                <w:sz w:val="24"/>
                <w:lang w:val="en-US" w:eastAsia="zh-CN"/>
              </w:rPr>
              <w:t>，</w:t>
            </w:r>
            <w:r>
              <w:rPr>
                <w:rFonts w:hint="default"/>
                <w:sz w:val="24"/>
                <w:lang w:val="en-US" w:eastAsia="zh-CN"/>
              </w:rPr>
              <w:t>0</w:t>
            </w:r>
          </w:p>
          <w:p w14:paraId="5FE2B5C5">
            <w:pPr>
              <w:jc w:val="center"/>
              <w:rPr>
                <w:rFonts w:hint="default"/>
                <w:color w:val="000000"/>
                <w:highlight w:val="none"/>
                <w:lang w:val="en-US" w:eastAsia="zh-CN"/>
              </w:rPr>
            </w:pPr>
          </w:p>
        </w:tc>
        <w:tc>
          <w:tcPr>
            <w:tcW w:w="879" w:type="dxa"/>
            <w:noWrap w:val="0"/>
            <w:vAlign w:val="center"/>
          </w:tcPr>
          <w:p w14:paraId="0A4A3E81">
            <w:pPr>
              <w:jc w:val="center"/>
              <w:rPr>
                <w:rFonts w:hint="default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140</w:t>
            </w:r>
          </w:p>
        </w:tc>
        <w:tc>
          <w:tcPr>
            <w:tcW w:w="1170" w:type="dxa"/>
            <w:noWrap w:val="0"/>
            <w:vAlign w:val="center"/>
          </w:tcPr>
          <w:p w14:paraId="3BF21E60">
            <w:pPr>
              <w:jc w:val="center"/>
              <w:rPr>
                <w:rFonts w:hint="default" w:eastAsia="宋体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500</w:t>
            </w:r>
          </w:p>
        </w:tc>
      </w:tr>
    </w:tbl>
    <w:p w14:paraId="05376EE3">
      <w:pPr>
        <w:pStyle w:val="6"/>
        <w:rPr>
          <w:rFonts w:hint="eastAsia" w:ascii="Times New Roman" w:hAnsi="Times New Roman" w:eastAsia="仿宋_GB2312"/>
          <w:color w:val="000000"/>
          <w:sz w:val="32"/>
          <w:szCs w:val="32"/>
          <w:highlight w:val="none"/>
        </w:rPr>
      </w:pPr>
    </w:p>
    <w:p w14:paraId="5B0D5649">
      <w:pPr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  <w:highlight w:val="none"/>
        </w:rPr>
      </w:pPr>
    </w:p>
    <w:p w14:paraId="767922C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D127FB"/>
    <w:rsid w:val="3F511C70"/>
    <w:rsid w:val="686A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常用样式（方正仿宋简）"/>
    <w:basedOn w:val="1"/>
    <w:qFormat/>
    <w:uiPriority w:val="0"/>
    <w:pPr>
      <w:spacing w:line="560" w:lineRule="exact"/>
      <w:ind w:firstLine="200" w:firstLineChars="200"/>
    </w:pPr>
    <w:rPr>
      <w:rFonts w:eastAsia="方正仿宋简体"/>
      <w:sz w:val="32"/>
    </w:rPr>
  </w:style>
  <w:style w:type="paragraph" w:customStyle="1" w:styleId="6">
    <w:name w:val="正文缩进1"/>
    <w:basedOn w:val="1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318</Characters>
  <Lines>0</Lines>
  <Paragraphs>0</Paragraphs>
  <TotalTime>0</TotalTime>
  <ScaleCrop>false</ScaleCrop>
  <LinksUpToDate>false</LinksUpToDate>
  <CharactersWithSpaces>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2026-09-21T01:22:00Z</dcterms:created>
  <dc:creator>Administrator</dc:creator>
  <cp:lastModifiedBy>liangl8816</cp:lastModifiedBy>
  <dcterms:modified xsi:type="dcterms:W3CDTF">2026-09-21T02:14:21Z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eyJoZGlkIjoiNWNmNmMwN2Y5NmVhMGNhODk4OTU4ZWEwMjk4ZGJkYjAiLCJ1c2VySWQiOiIxMjEyODM2Nzk1In0=</vt:lpwstr>
  </property>
  <property fmtid="{D5CDD505-2E9C-101B-9397-08002B2CF9AE}" pid="4" name="ICV">
    <vt:lpwstr>2CD64D33B68D4E76AAE4C63D49108DAB_12</vt:lpwstr>
  </property>
</Properties>
</file>